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PL</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ZAŁĄCZNIK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„ZAŁĄCZNIK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INSTRUKCJE DOTYCZĄCE SPRAWOZDAWCZOŚCI W ZAKRESIE FUNDUSZY WŁASNYCH ORAZ WYMOGÓW W ZAKRESIE FUNDUSZY WŁASNYCH</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CZĘŚĆ II: INSTRUKCJE DOTYCZĄCE WZORÓW</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Ryzyko kredytowe – sekurytyzacje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sidRPr="00FC4B69">
        <w:tab/>
      </w:r>
      <w:r>
        <w:rPr>
          <w:rFonts w:ascii="Times New Roman" w:hAnsi="Times New Roman"/>
          <w:sz w:val="24"/>
        </w:rPr>
        <w:t>Uwagi ogólne</w:t>
      </w:r>
      <w:bookmarkEnd w:id="0"/>
      <w:bookmarkEnd w:id="1"/>
    </w:p>
    <w:p w14:paraId="4565BDE6" w14:textId="04AF43A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Jeżeli instytucja jest jednostką inicjującą,</w:t>
      </w:r>
      <w:r w:rsidR="00FC4B69">
        <w:t xml:space="preserve"> w tym</w:t>
      </w:r>
      <w:r>
        <w:t xml:space="preserve"> wzorze wymagane są informacje na temat wszystkich sekurytyzacji,</w:t>
      </w:r>
      <w:r w:rsidR="00FC4B69">
        <w:t xml:space="preserve"> w odn</w:t>
      </w:r>
      <w:r>
        <w:t xml:space="preserve">iesieniu do których uznano przeniesienie istotnej części ryzyka. Jeżeli instytucja jest inwestorem, zgłasza się wszystkie ekspozycje. </w:t>
      </w:r>
    </w:p>
    <w:p w14:paraId="6B330974" w14:textId="3F06D5F0"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Zgłaszane informacje zależą od roli instytucji</w:t>
      </w:r>
      <w:r w:rsidR="00FC4B69">
        <w:t xml:space="preserve"> w kon</w:t>
      </w:r>
      <w:r>
        <w:t>tekście procesu sekurytyzacji. Poszczególne zgłaszane pozycje mają zastosowanie do jednostek inicjujących, jednostek sponsorujących</w:t>
      </w:r>
      <w:r w:rsidR="00FC4B69">
        <w:t xml:space="preserve"> i inw</w:t>
      </w:r>
      <w:r>
        <w:t>estorów.</w:t>
      </w:r>
    </w:p>
    <w:p w14:paraId="1FFE8C5F" w14:textId="4DC8FC4B"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Wzór ten służy do gromadzenia informacji dotyczących zarówno sekurytyzacji tradycyjnych, jak</w:t>
      </w:r>
      <w:r w:rsidR="00FC4B69">
        <w:t xml:space="preserve"> i syn</w:t>
      </w:r>
      <w:r>
        <w:t>tetycznych znajdujących się</w:t>
      </w:r>
      <w:r w:rsidR="00FC4B69">
        <w:t xml:space="preserve"> w por</w:t>
      </w:r>
      <w:r>
        <w:t xml:space="preserve">tfelu bankowym.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sidRPr="00FC4B69">
        <w:rPr>
          <w:u w:val="none"/>
        </w:rPr>
        <w:tab/>
      </w:r>
      <w:r>
        <w:rPr>
          <w:rFonts w:ascii="Times New Roman" w:hAnsi="Times New Roman"/>
          <w:sz w:val="24"/>
        </w:rPr>
        <w:t>Instrukcje dotyczące poszczególnych pozycji</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CAŁKOWITA KWOTA UTWORZONYCH EKSPOZYCJI SEKURYTYZACYJNYCH</w:t>
            </w:r>
          </w:p>
          <w:p w14:paraId="4F099FD7" w14:textId="77777777" w:rsidR="00933ADA" w:rsidRPr="002A677E" w:rsidRDefault="00933ADA" w:rsidP="00822842">
            <w:pPr>
              <w:spacing w:before="0" w:after="0"/>
              <w:jc w:val="left"/>
              <w:rPr>
                <w:rFonts w:ascii="Times New Roman" w:hAnsi="Times New Roman"/>
                <w:sz w:val="24"/>
              </w:rPr>
            </w:pPr>
          </w:p>
          <w:p w14:paraId="3F45E834" w14:textId="3F16D15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Instytucja inicjująca zgłasza kwotę należną na dzień sprawozdawczy</w:t>
            </w:r>
            <w:r w:rsidR="00FC4B69">
              <w:rPr>
                <w:rFonts w:ascii="Times New Roman" w:hAnsi="Times New Roman"/>
                <w:sz w:val="24"/>
              </w:rPr>
              <w:t xml:space="preserve"> w odn</w:t>
            </w:r>
            <w:r>
              <w:rPr>
                <w:rFonts w:ascii="Times New Roman" w:hAnsi="Times New Roman"/>
                <w:sz w:val="24"/>
              </w:rPr>
              <w:t>iesieniu do wszystkich aktualnych ekspozycji sekurytyzacyjnych</w:t>
            </w:r>
            <w:r w:rsidR="00FC4B69">
              <w:rPr>
                <w:rFonts w:ascii="Times New Roman" w:hAnsi="Times New Roman"/>
                <w:sz w:val="24"/>
              </w:rPr>
              <w:t xml:space="preserve"> z tyt</w:t>
            </w:r>
            <w:r>
              <w:rPr>
                <w:rFonts w:ascii="Times New Roman" w:hAnsi="Times New Roman"/>
                <w:sz w:val="24"/>
              </w:rPr>
              <w:t>ułu transakcji sekurytyzacyjnych bez względu, kto posiada te pozycje. Zgłasza się zatem bilansowe ekspozycje sekurytyzacyjne (np. obligacje, pożyczki podporządkowane), jak również pozabilansowe ekspozycje</w:t>
            </w:r>
            <w:r w:rsidR="00FC4B69">
              <w:rPr>
                <w:rFonts w:ascii="Times New Roman" w:hAnsi="Times New Roman"/>
                <w:sz w:val="24"/>
              </w:rPr>
              <w:t xml:space="preserve"> i ins</w:t>
            </w:r>
            <w:r>
              <w:rPr>
                <w:rFonts w:ascii="Times New Roman" w:hAnsi="Times New Roman"/>
                <w:sz w:val="24"/>
              </w:rPr>
              <w:t>trumenty pochodne (np. podporządkowane linie kredytowe, instrumenty wsparcia płynności, swapy stopy procentowej, swapy ryzyka kredytowego), które wynikają</w:t>
            </w:r>
            <w:r w:rsidR="00FC4B69">
              <w:rPr>
                <w:rFonts w:ascii="Times New Roman" w:hAnsi="Times New Roman"/>
                <w:sz w:val="24"/>
              </w:rPr>
              <w:t xml:space="preserve"> z sek</w:t>
            </w:r>
            <w:r>
              <w:rPr>
                <w:rFonts w:ascii="Times New Roman" w:hAnsi="Times New Roman"/>
                <w:sz w:val="24"/>
              </w:rPr>
              <w:t xml:space="preserve">urytyzacji.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2BB1044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tradycyjnej sekurytyzacji, gdzie jednostka inicjująca nie posiada żadnych pozycji, jednostka ta nie uwzględnia tej sekurytyzacji</w:t>
            </w:r>
            <w:r w:rsidR="00FC4B69">
              <w:rPr>
                <w:rFonts w:ascii="Times New Roman" w:hAnsi="Times New Roman"/>
                <w:sz w:val="24"/>
              </w:rPr>
              <w:t xml:space="preserve"> w zgł</w:t>
            </w:r>
            <w:r>
              <w:rPr>
                <w:rFonts w:ascii="Times New Roman" w:hAnsi="Times New Roman"/>
                <w:sz w:val="24"/>
              </w:rPr>
              <w:t>aszaniu tego wzoru</w:t>
            </w:r>
            <w:r w:rsidR="00FC4B69">
              <w:rPr>
                <w:rFonts w:ascii="Times New Roman" w:hAnsi="Times New Roman"/>
                <w:sz w:val="24"/>
              </w:rPr>
              <w:t>. W tym</w:t>
            </w:r>
            <w:r>
              <w:rPr>
                <w:rFonts w:ascii="Times New Roman" w:hAnsi="Times New Roman"/>
                <w:sz w:val="24"/>
              </w:rPr>
              <w:t xml:space="preserve"> celu pozycje sekurytyzacyjne posiadane </w:t>
            </w:r>
            <w:r>
              <w:rPr>
                <w:rFonts w:ascii="Times New Roman" w:hAnsi="Times New Roman"/>
                <w:sz w:val="24"/>
              </w:rPr>
              <w:lastRenderedPageBreak/>
              <w:t>przez jednostkę inicjującą obejmują opcje przedterminowej spłaty należności, zgodnie</w:t>
            </w:r>
            <w:r w:rsidR="00FC4B69">
              <w:rPr>
                <w:rFonts w:ascii="Times New Roman" w:hAnsi="Times New Roman"/>
                <w:sz w:val="24"/>
              </w:rPr>
              <w:t xml:space="preserve"> z def</w:t>
            </w:r>
            <w:r>
              <w:rPr>
                <w:rFonts w:ascii="Times New Roman" w:hAnsi="Times New Roman"/>
                <w:sz w:val="24"/>
              </w:rPr>
              <w:t>inicją zawartą</w:t>
            </w:r>
            <w:r w:rsidR="00FC4B69">
              <w:rPr>
                <w:rFonts w:ascii="Times New Roman" w:hAnsi="Times New Roman"/>
                <w:sz w:val="24"/>
              </w:rPr>
              <w:t xml:space="preserve"> w art</w:t>
            </w:r>
            <w:r>
              <w:rPr>
                <w:rFonts w:ascii="Times New Roman" w:hAnsi="Times New Roman"/>
                <w:sz w:val="24"/>
              </w:rPr>
              <w:t xml:space="preserve">. 242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ram</w:t>
            </w:r>
            <w:r>
              <w:rPr>
                <w:rFonts w:ascii="Times New Roman" w:hAnsi="Times New Roman"/>
                <w:sz w:val="24"/>
              </w:rPr>
              <w:t>ach sekurytyzacji ekspozycji odnawialnych.</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SEKURYTYZACJE SYNTETYCZNE: OCHRONA KREDYTOWA EKSPOZYCJI SEKURYTYZACYJNYCH</w:t>
            </w:r>
          </w:p>
          <w:p w14:paraId="3A5F9B3C" w14:textId="77777777" w:rsidR="00933ADA" w:rsidRPr="002A677E" w:rsidRDefault="00933ADA" w:rsidP="00822842">
            <w:pPr>
              <w:spacing w:before="0" w:after="0"/>
              <w:jc w:val="left"/>
              <w:rPr>
                <w:rFonts w:ascii="Times New Roman" w:hAnsi="Times New Roman"/>
                <w:sz w:val="24"/>
              </w:rPr>
            </w:pPr>
          </w:p>
          <w:p w14:paraId="00D3187B" w14:textId="5268A5B1" w:rsidR="00933ADA" w:rsidRPr="002A677E" w:rsidRDefault="00933ADA" w:rsidP="00822842">
            <w:pPr>
              <w:spacing w:before="0" w:after="0"/>
              <w:rPr>
                <w:rFonts w:ascii="Times New Roman" w:hAnsi="Times New Roman"/>
                <w:sz w:val="24"/>
              </w:rPr>
            </w:pPr>
            <w:r>
              <w:rPr>
                <w:rFonts w:ascii="Times New Roman" w:hAnsi="Times New Roman"/>
                <w:sz w:val="24"/>
              </w:rPr>
              <w:t>Art. 251</w:t>
            </w:r>
            <w:r w:rsidR="00FC4B69">
              <w:rPr>
                <w:rFonts w:ascii="Times New Roman" w:hAnsi="Times New Roman"/>
                <w:sz w:val="24"/>
              </w:rPr>
              <w:t xml:space="preserve"> i 2</w:t>
            </w:r>
            <w:r>
              <w:rPr>
                <w:rFonts w:ascii="Times New Roman" w:hAnsi="Times New Roman"/>
                <w:sz w:val="24"/>
              </w:rPr>
              <w:t xml:space="preserve">52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3D5EC554" w14:textId="77777777" w:rsidR="00933ADA" w:rsidRPr="002A677E" w:rsidRDefault="00933ADA" w:rsidP="00822842">
            <w:pPr>
              <w:spacing w:before="0" w:after="0"/>
              <w:rPr>
                <w:rFonts w:ascii="Times New Roman" w:hAnsi="Times New Roman"/>
                <w:sz w:val="24"/>
              </w:rPr>
            </w:pPr>
          </w:p>
          <w:p w14:paraId="77C50C84" w14:textId="352B7C68" w:rsidR="00933ADA" w:rsidRPr="002A677E" w:rsidRDefault="00933ADA" w:rsidP="00822842">
            <w:pPr>
              <w:spacing w:before="0" w:after="0"/>
              <w:rPr>
                <w:rFonts w:ascii="Times New Roman" w:hAnsi="Times New Roman"/>
                <w:sz w:val="24"/>
              </w:rPr>
            </w:pPr>
            <w:r>
              <w:rPr>
                <w:rFonts w:ascii="Times New Roman" w:hAnsi="Times New Roman"/>
                <w:sz w:val="24"/>
              </w:rPr>
              <w:t>Niedopasowanie terminów zapadalności nie jest uwzględniane</w:t>
            </w:r>
            <w:r w:rsidR="00FC4B69">
              <w:rPr>
                <w:rFonts w:ascii="Times New Roman" w:hAnsi="Times New Roman"/>
                <w:sz w:val="24"/>
              </w:rPr>
              <w:t xml:space="preserve"> w sko</w:t>
            </w:r>
            <w:r>
              <w:rPr>
                <w:rFonts w:ascii="Times New Roman" w:hAnsi="Times New Roman"/>
                <w:sz w:val="24"/>
              </w:rPr>
              <w:t>rygowanej wartości wynikającej</w:t>
            </w:r>
            <w:r w:rsidR="00FC4B69">
              <w:rPr>
                <w:rFonts w:ascii="Times New Roman" w:hAnsi="Times New Roman"/>
                <w:sz w:val="24"/>
              </w:rPr>
              <w:t xml:space="preserve"> z zas</w:t>
            </w:r>
            <w:r>
              <w:rPr>
                <w:rFonts w:ascii="Times New Roman" w:hAnsi="Times New Roman"/>
                <w:sz w:val="24"/>
              </w:rPr>
              <w:t>tosowania technik ograniczania ryzyka kredytowego</w:t>
            </w:r>
            <w:r w:rsidR="00FC4B69">
              <w:rPr>
                <w:rFonts w:ascii="Times New Roman" w:hAnsi="Times New Roman"/>
                <w:sz w:val="24"/>
              </w:rPr>
              <w:t xml:space="preserve"> w ram</w:t>
            </w:r>
            <w:r>
              <w:rPr>
                <w:rFonts w:ascii="Times New Roman" w:hAnsi="Times New Roman"/>
                <w:sz w:val="24"/>
              </w:rPr>
              <w:t xml:space="preserve">ach programu sekurytyzacyjnego.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OCHRONA KREDYTOWA RZECZYWISTA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E1759D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Szczegółowa procedura obliczania wartości zabezpieczenia skorygowanej</w:t>
            </w:r>
            <w:r w:rsidR="00FC4B69">
              <w:rPr>
                <w:rFonts w:ascii="Times New Roman" w:hAnsi="Times New Roman"/>
                <w:sz w:val="24"/>
              </w:rPr>
              <w:t xml:space="preserve"> o czy</w:t>
            </w:r>
            <w:r>
              <w:rPr>
                <w:rFonts w:ascii="Times New Roman" w:hAnsi="Times New Roman"/>
                <w:sz w:val="24"/>
              </w:rPr>
              <w:t>nnik zmienności (C</w:t>
            </w:r>
            <w:r>
              <w:rPr>
                <w:rFonts w:ascii="Times New Roman" w:hAnsi="Times New Roman"/>
                <w:sz w:val="24"/>
                <w:vertAlign w:val="subscript"/>
              </w:rPr>
              <w:t>VA</w:t>
            </w:r>
            <w:r>
              <w:rPr>
                <w:rFonts w:ascii="Times New Roman" w:hAnsi="Times New Roman"/>
                <w:sz w:val="24"/>
              </w:rPr>
              <w:t>), którą to wartość zgłasza się</w:t>
            </w:r>
            <w:r w:rsidR="00FC4B69">
              <w:rPr>
                <w:rFonts w:ascii="Times New Roman" w:hAnsi="Times New Roman"/>
                <w:sz w:val="24"/>
              </w:rPr>
              <w:t xml:space="preserve"> w tej</w:t>
            </w:r>
            <w:r>
              <w:rPr>
                <w:rFonts w:ascii="Times New Roman" w:hAnsi="Times New Roman"/>
                <w:sz w:val="24"/>
              </w:rPr>
              <w:t xml:space="preserve"> kolumnie, jest określona</w:t>
            </w:r>
            <w:r w:rsidR="00FC4B69">
              <w:rPr>
                <w:rFonts w:ascii="Times New Roman" w:hAnsi="Times New Roman"/>
                <w:sz w:val="24"/>
              </w:rPr>
              <w:t xml:space="preserve"> w art</w:t>
            </w:r>
            <w:r>
              <w:rPr>
                <w:rFonts w:ascii="Times New Roman" w:hAnsi="Times New Roman"/>
                <w:sz w:val="24"/>
              </w:rPr>
              <w:t xml:space="preserve">. 223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WYPŁYWY RAZEM: SKORYGOWANE WARTOŚCI NIERZECZYWISTEJ OCHRONY KREDYTOWEJ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692CC11A" w:rsidR="00933ADA" w:rsidRPr="002A677E" w:rsidRDefault="00933ADA" w:rsidP="00822842">
            <w:pPr>
              <w:spacing w:before="0" w:after="0"/>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ogó</w:t>
            </w:r>
            <w:r>
              <w:rPr>
                <w:rFonts w:ascii="Times New Roman" w:hAnsi="Times New Roman"/>
                <w:sz w:val="24"/>
              </w:rPr>
              <w:t>lną zasadą dla „wpływów” i „wypływów” kwoty zgłoszone</w:t>
            </w:r>
            <w:r w:rsidR="00FC4B69">
              <w:rPr>
                <w:rFonts w:ascii="Times New Roman" w:hAnsi="Times New Roman"/>
                <w:sz w:val="24"/>
              </w:rPr>
              <w:t xml:space="preserve"> w tej</w:t>
            </w:r>
            <w:r>
              <w:rPr>
                <w:rFonts w:ascii="Times New Roman" w:hAnsi="Times New Roman"/>
                <w:sz w:val="24"/>
              </w:rPr>
              <w:t xml:space="preserve"> kolumnie pojawiają się jako „wpływy”</w:t>
            </w:r>
            <w:r w:rsidR="00FC4B69">
              <w:rPr>
                <w:rFonts w:ascii="Times New Roman" w:hAnsi="Times New Roman"/>
                <w:sz w:val="24"/>
              </w:rPr>
              <w:t xml:space="preserve"> w odp</w:t>
            </w:r>
            <w:r>
              <w:rPr>
                <w:rFonts w:ascii="Times New Roman" w:hAnsi="Times New Roman"/>
                <w:sz w:val="24"/>
              </w:rPr>
              <w:t>owiednim wzorze dotyczącym ryzyka kredytowego (CR SA lub CR IRB) oraz</w:t>
            </w:r>
            <w:r w:rsidR="00FC4B69">
              <w:rPr>
                <w:rFonts w:ascii="Times New Roman" w:hAnsi="Times New Roman"/>
                <w:sz w:val="24"/>
              </w:rPr>
              <w:t xml:space="preserve"> w kat</w:t>
            </w:r>
            <w:r>
              <w:rPr>
                <w:rFonts w:ascii="Times New Roman" w:hAnsi="Times New Roman"/>
                <w:sz w:val="24"/>
              </w:rPr>
              <w:t>egorii ekspozycji, do której jednostka sprawozdająca przypisuje dostawcę ochrony kredytowej (tj. stronę trzecią, której przekazywane są transze za pośrednictwem ochrony kredytowej nierzeczywistej).</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153E989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Procedura obliczania nominalnej kwoty ochrony kredytowej skorygowanej o „ryzyko walutowe” (G*) jest określona</w:t>
            </w:r>
            <w:r w:rsidR="00FC4B69">
              <w:rPr>
                <w:rFonts w:ascii="Times New Roman" w:hAnsi="Times New Roman"/>
                <w:sz w:val="24"/>
              </w:rPr>
              <w:t xml:space="preserve"> w art</w:t>
            </w:r>
            <w:r>
              <w:rPr>
                <w:rFonts w:ascii="Times New Roman" w:hAnsi="Times New Roman"/>
                <w:sz w:val="24"/>
              </w:rPr>
              <w:t xml:space="preserve">. 233 ust.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UTRZYMANA LUB WYKUPIONA KWOTA REFERENCYJNA OCHRONY KREDYTOWEJ</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6C2C3EE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Wszystkie transze, które zostały utrzymane lub wykupione, np. zachowane pozycje pierwszej straty, są zgłaszane zgodnie</w:t>
            </w:r>
            <w:r w:rsidR="00FC4B69">
              <w:rPr>
                <w:rFonts w:ascii="Times New Roman" w:hAnsi="Times New Roman"/>
                <w:sz w:val="24"/>
              </w:rPr>
              <w:t xml:space="preserve"> z ich</w:t>
            </w:r>
            <w:r>
              <w:rPr>
                <w:rFonts w:ascii="Times New Roman" w:hAnsi="Times New Roman"/>
                <w:sz w:val="24"/>
              </w:rPr>
              <w:t xml:space="preserve"> wartością nominalną.</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Skutek nadzorczej redukcji wartości ochrony kredytowej nie jest brany pod uwagę przy obliczaniu utrzymanej lub wykupionej kwoty ochrony kredytowej.</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POZYCJE SEKURYTYZACYJNE: PIERWOTNA EKSPOZYCJA PRZED UWZGLĘDNIENIEM WSPÓŁCZYNNIKÓW KONWERSJI </w:t>
            </w:r>
          </w:p>
          <w:p w14:paraId="1BD0E65D" w14:textId="77777777" w:rsidR="00933ADA" w:rsidRPr="002A677E" w:rsidRDefault="00933ADA" w:rsidP="00822842">
            <w:pPr>
              <w:spacing w:before="0" w:after="0"/>
              <w:jc w:val="left"/>
              <w:rPr>
                <w:rFonts w:ascii="Times New Roman" w:hAnsi="Times New Roman"/>
                <w:sz w:val="24"/>
              </w:rPr>
            </w:pPr>
          </w:p>
          <w:p w14:paraId="38224AF6" w14:textId="6F3C897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Niniejsza kolumna zawiera wartości ekspozycji pozycji sekurytyzacyjnych posiadanych przez instytucję sprawozdającą, obliczone zgodnie</w:t>
            </w:r>
            <w:r w:rsidR="00FC4B69">
              <w:rPr>
                <w:rFonts w:ascii="Times New Roman" w:hAnsi="Times New Roman"/>
                <w:sz w:val="24"/>
              </w:rPr>
              <w:t xml:space="preserve"> z art</w:t>
            </w:r>
            <w:r>
              <w:rPr>
                <w:rFonts w:ascii="Times New Roman" w:hAnsi="Times New Roman"/>
                <w:sz w:val="24"/>
              </w:rPr>
              <w:t>. 248 ust. 1</w:t>
            </w:r>
            <w:r w:rsidR="00FC4B69">
              <w:rPr>
                <w:rFonts w:ascii="Times New Roman" w:hAnsi="Times New Roman"/>
                <w:sz w:val="24"/>
              </w:rPr>
              <w:t xml:space="preserve"> i 2</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bez stosowania współczynników konwersji kredytowej przed odliczeniem korekt</w:t>
            </w:r>
            <w:r w:rsidR="00FC4B69">
              <w:rPr>
                <w:rFonts w:ascii="Times New Roman" w:hAnsi="Times New Roman"/>
                <w:sz w:val="24"/>
              </w:rPr>
              <w:t xml:space="preserve"> z tyt</w:t>
            </w:r>
            <w:r>
              <w:rPr>
                <w:rFonts w:ascii="Times New Roman" w:hAnsi="Times New Roman"/>
                <w:sz w:val="24"/>
              </w:rPr>
              <w:t xml:space="preserve">ułu </w:t>
            </w:r>
            <w:r>
              <w:rPr>
                <w:rFonts w:ascii="Times New Roman" w:hAnsi="Times New Roman"/>
                <w:sz w:val="24"/>
              </w:rPr>
              <w:lastRenderedPageBreak/>
              <w:t>ryzyka kredytowego</w:t>
            </w:r>
            <w:r w:rsidR="00FC4B69">
              <w:rPr>
                <w:rFonts w:ascii="Times New Roman" w:hAnsi="Times New Roman"/>
                <w:sz w:val="24"/>
              </w:rPr>
              <w:t xml:space="preserve"> i rez</w:t>
            </w:r>
            <w:r>
              <w:rPr>
                <w:rFonts w:ascii="Times New Roman" w:hAnsi="Times New Roman"/>
                <w:sz w:val="24"/>
              </w:rPr>
              <w:t>erw oraz wszelkich niepodlegających odliczeniu rabatów cenowych przy zakupie zgodnie</w:t>
            </w:r>
            <w:r w:rsidR="00FC4B69">
              <w:rPr>
                <w:rFonts w:ascii="Times New Roman" w:hAnsi="Times New Roman"/>
                <w:sz w:val="24"/>
              </w:rPr>
              <w:t xml:space="preserve"> z art</w:t>
            </w:r>
            <w:r>
              <w:rPr>
                <w:rFonts w:ascii="Times New Roman" w:hAnsi="Times New Roman"/>
                <w:sz w:val="24"/>
              </w:rPr>
              <w:t xml:space="preserve">. 248 ust. 1 lit. d)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a tak</w:t>
            </w:r>
            <w:r>
              <w:rPr>
                <w:rFonts w:ascii="Times New Roman" w:hAnsi="Times New Roman"/>
                <w:sz w:val="24"/>
              </w:rPr>
              <w:t>że korekt</w:t>
            </w:r>
            <w:r w:rsidR="00FC4B69">
              <w:rPr>
                <w:rFonts w:ascii="Times New Roman" w:hAnsi="Times New Roman"/>
                <w:sz w:val="24"/>
              </w:rPr>
              <w:t xml:space="preserve"> z tyt</w:t>
            </w:r>
            <w:r>
              <w:rPr>
                <w:rFonts w:ascii="Times New Roman" w:hAnsi="Times New Roman"/>
                <w:sz w:val="24"/>
              </w:rPr>
              <w:t>ułu ryzyka kredytowego</w:t>
            </w:r>
            <w:r w:rsidR="00FC4B69">
              <w:rPr>
                <w:rFonts w:ascii="Times New Roman" w:hAnsi="Times New Roman"/>
                <w:sz w:val="24"/>
              </w:rPr>
              <w:t xml:space="preserve"> i rez</w:t>
            </w:r>
            <w:r>
              <w:rPr>
                <w:rFonts w:ascii="Times New Roman" w:hAnsi="Times New Roman"/>
                <w:sz w:val="24"/>
              </w:rPr>
              <w:t>erw</w:t>
            </w:r>
            <w:r w:rsidR="00FC4B69">
              <w:rPr>
                <w:rFonts w:ascii="Times New Roman" w:hAnsi="Times New Roman"/>
                <w:sz w:val="24"/>
              </w:rPr>
              <w:t xml:space="preserve"> w poz</w:t>
            </w:r>
            <w:r>
              <w:rPr>
                <w:rFonts w:ascii="Times New Roman" w:hAnsi="Times New Roman"/>
                <w:sz w:val="24"/>
              </w:rPr>
              <w:t>ycji sekurytyzacyjnej.</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6D175F9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Kompensowanie ma znaczenie wyłącznie</w:t>
            </w:r>
            <w:r w:rsidR="00FC4B69">
              <w:rPr>
                <w:rFonts w:ascii="Times New Roman" w:hAnsi="Times New Roman"/>
                <w:sz w:val="24"/>
              </w:rPr>
              <w:t xml:space="preserve"> w odn</w:t>
            </w:r>
            <w:r>
              <w:rPr>
                <w:rFonts w:ascii="Times New Roman" w:hAnsi="Times New Roman"/>
                <w:sz w:val="24"/>
              </w:rPr>
              <w:t>iesieniu do złożonych instrumentów pochodnych dotyczących tej samej jednostki specjalnego przeznaczenia do celów sekurytyzacji, które to instrumenty objęte są uznaną umową</w:t>
            </w:r>
            <w:r w:rsidR="00FC4B69">
              <w:rPr>
                <w:rFonts w:ascii="Times New Roman" w:hAnsi="Times New Roman"/>
                <w:sz w:val="24"/>
              </w:rPr>
              <w:t xml:space="preserve"> o kom</w:t>
            </w:r>
            <w:r>
              <w:rPr>
                <w:rFonts w:ascii="Times New Roman" w:hAnsi="Times New Roman"/>
                <w:sz w:val="24"/>
              </w:rPr>
              <w:t xml:space="preserve">pensowaniu.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66F92C6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odniesieniu do sekurytyzacji syntetycznych pozycje posiadane przez jednostkę inicjującą</w:t>
            </w:r>
            <w:r w:rsidR="00FC4B69">
              <w:rPr>
                <w:rFonts w:ascii="Times New Roman" w:hAnsi="Times New Roman"/>
                <w:sz w:val="24"/>
              </w:rPr>
              <w:t xml:space="preserve"> w pos</w:t>
            </w:r>
            <w:r>
              <w:rPr>
                <w:rFonts w:ascii="Times New Roman" w:hAnsi="Times New Roman"/>
                <w:sz w:val="24"/>
              </w:rPr>
              <w:t>taci pozycji bilansowych lub udziału inwestora wynikają ze zagregowania kolumn 0010–0040.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KOREKTY WARTOŚCI I REZERWY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5778B5E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 248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Korekty wartości</w:t>
            </w:r>
            <w:r w:rsidR="00FC4B69">
              <w:rPr>
                <w:rFonts w:ascii="Times New Roman" w:hAnsi="Times New Roman"/>
                <w:sz w:val="24"/>
              </w:rPr>
              <w:t xml:space="preserve"> i rez</w:t>
            </w:r>
            <w:r>
              <w:rPr>
                <w:rFonts w:ascii="Times New Roman" w:hAnsi="Times New Roman"/>
                <w:sz w:val="24"/>
              </w:rPr>
              <w:t>erwy, które należy zgłosić</w:t>
            </w:r>
            <w:r w:rsidR="00FC4B69">
              <w:rPr>
                <w:rFonts w:ascii="Times New Roman" w:hAnsi="Times New Roman"/>
                <w:sz w:val="24"/>
              </w:rPr>
              <w:t xml:space="preserve"> w tej</w:t>
            </w:r>
            <w:r>
              <w:rPr>
                <w:rFonts w:ascii="Times New Roman" w:hAnsi="Times New Roman"/>
                <w:sz w:val="24"/>
              </w:rPr>
              <w:t xml:space="preserve"> kolumnie, dotyczą wyłącznie pozycji sekurytyzacyjnych. Nie uwzględnia się korekt wartości ekspozycji sekurytyzowanych.</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EKSPOZYCJA PO ODLICZENIU KOREKT WARTOŚCI I REZERW</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4A67B8D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Niniejsza kolumna zawiera wartości ekspozycji pozycji sekurytyzacyjnych obliczone zgodnie</w:t>
            </w:r>
            <w:r w:rsidR="00FC4B69">
              <w:rPr>
                <w:rFonts w:ascii="Times New Roman" w:hAnsi="Times New Roman"/>
                <w:sz w:val="24"/>
              </w:rPr>
              <w:t xml:space="preserve"> z art</w:t>
            </w:r>
            <w:r>
              <w:rPr>
                <w:rFonts w:ascii="Times New Roman" w:hAnsi="Times New Roman"/>
                <w:sz w:val="24"/>
              </w:rPr>
              <w:t>. 248 ust. 1</w:t>
            </w:r>
            <w:r w:rsidR="00FC4B69">
              <w:rPr>
                <w:rFonts w:ascii="Times New Roman" w:hAnsi="Times New Roman"/>
                <w:sz w:val="24"/>
              </w:rPr>
              <w:t xml:space="preserve"> i 2</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po odliczeniu korekt wartości</w:t>
            </w:r>
            <w:r w:rsidR="00FC4B69">
              <w:rPr>
                <w:rFonts w:ascii="Times New Roman" w:hAnsi="Times New Roman"/>
                <w:sz w:val="24"/>
              </w:rPr>
              <w:t xml:space="preserve"> i rez</w:t>
            </w:r>
            <w:r>
              <w:rPr>
                <w:rFonts w:ascii="Times New Roman" w:hAnsi="Times New Roman"/>
                <w:sz w:val="24"/>
              </w:rPr>
              <w:t>erw, bez stosowania współczynników</w:t>
            </w:r>
            <w:r>
              <w:t xml:space="preserve"> </w:t>
            </w:r>
            <w:r>
              <w:rPr>
                <w:rFonts w:ascii="Times New Roman" w:hAnsi="Times New Roman"/>
                <w:sz w:val="24"/>
              </w:rPr>
              <w:t>konwersji oraz przed odliczeniem wszelkich niepodlegających odliczeniu rabatów cenowych przy zakupie zgodnie</w:t>
            </w:r>
            <w:r w:rsidR="00FC4B69">
              <w:rPr>
                <w:rFonts w:ascii="Times New Roman" w:hAnsi="Times New Roman"/>
                <w:sz w:val="24"/>
              </w:rPr>
              <w:t xml:space="preserve"> z art</w:t>
            </w:r>
            <w:r>
              <w:rPr>
                <w:rFonts w:ascii="Times New Roman" w:hAnsi="Times New Roman"/>
                <w:sz w:val="24"/>
              </w:rPr>
              <w:t xml:space="preserve">. 248 ust. 1 lit. d)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a tak</w:t>
            </w:r>
            <w:r>
              <w:rPr>
                <w:rFonts w:ascii="Times New Roman" w:hAnsi="Times New Roman"/>
                <w:sz w:val="24"/>
              </w:rPr>
              <w:t>że wartości po odliczeniu korekt</w:t>
            </w:r>
            <w:r w:rsidR="00FC4B69">
              <w:rPr>
                <w:rFonts w:ascii="Times New Roman" w:hAnsi="Times New Roman"/>
                <w:sz w:val="24"/>
              </w:rPr>
              <w:t xml:space="preserve"> z tyt</w:t>
            </w:r>
            <w:r>
              <w:rPr>
                <w:rFonts w:ascii="Times New Roman" w:hAnsi="Times New Roman"/>
                <w:sz w:val="24"/>
              </w:rPr>
              <w:t>ułu ryzyka kredytowego</w:t>
            </w:r>
            <w:r w:rsidR="00FC4B69">
              <w:rPr>
                <w:rFonts w:ascii="Times New Roman" w:hAnsi="Times New Roman"/>
                <w:sz w:val="24"/>
              </w:rPr>
              <w:t xml:space="preserve"> i rez</w:t>
            </w:r>
            <w:r>
              <w:rPr>
                <w:rFonts w:ascii="Times New Roman" w:hAnsi="Times New Roman"/>
                <w:sz w:val="24"/>
              </w:rPr>
              <w:t>erw na pozycję sekurytyzacyjną.</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TECHNIKI OGRANICZANIA RYZYKA KREDYTOWEGO Z UWZGLĘDNIENIEM EFEKTÓW SUBSTYTUCYJNYCH W ODNIESIENIU DO EKSPOZYCJI</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4512A499" w:rsidR="00933ADA" w:rsidRPr="002A677E" w:rsidRDefault="00933ADA" w:rsidP="00822842">
            <w:pPr>
              <w:spacing w:before="0" w:after="0"/>
              <w:rPr>
                <w:rFonts w:ascii="Times New Roman" w:hAnsi="Times New Roman"/>
                <w:sz w:val="24"/>
              </w:rPr>
            </w:pPr>
            <w:r>
              <w:rPr>
                <w:rFonts w:ascii="Times New Roman" w:hAnsi="Times New Roman"/>
                <w:sz w:val="24"/>
              </w:rPr>
              <w:t xml:space="preserve">Art. 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 część trzecia tytuł II rozdział 4</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49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3BC519FC" w:rsidR="00933ADA" w:rsidRPr="002A677E" w:rsidRDefault="00933ADA" w:rsidP="00822842">
            <w:pPr>
              <w:spacing w:before="0" w:after="0"/>
              <w:rPr>
                <w:rFonts w:ascii="Times New Roman" w:hAnsi="Times New Roman"/>
                <w:sz w:val="24"/>
              </w:rPr>
            </w:pPr>
            <w:r>
              <w:rPr>
                <w:rFonts w:ascii="Times New Roman" w:hAnsi="Times New Roman"/>
                <w:sz w:val="24"/>
              </w:rPr>
              <w:t>Instytucje zgłaszają</w:t>
            </w:r>
            <w:r w:rsidR="00FC4B69">
              <w:rPr>
                <w:rFonts w:ascii="Times New Roman" w:hAnsi="Times New Roman"/>
                <w:sz w:val="24"/>
              </w:rPr>
              <w:t xml:space="preserve"> w tyc</w:t>
            </w:r>
            <w:r>
              <w:rPr>
                <w:rFonts w:ascii="Times New Roman" w:hAnsi="Times New Roman"/>
                <w:sz w:val="24"/>
              </w:rPr>
              <w:t>h kolumnach informacje na temat technik ograniczania ryzyka, które zmniejszają ryzyko kredytowe</w:t>
            </w:r>
            <w:r w:rsidR="00FC4B69">
              <w:rPr>
                <w:rFonts w:ascii="Times New Roman" w:hAnsi="Times New Roman"/>
                <w:sz w:val="24"/>
              </w:rPr>
              <w:t xml:space="preserve"> z tyt</w:t>
            </w:r>
            <w:r>
              <w:rPr>
                <w:rFonts w:ascii="Times New Roman" w:hAnsi="Times New Roman"/>
                <w:sz w:val="24"/>
              </w:rPr>
              <w:t>ułu ekspozycji poprzez substytucję ekspozycji (jak wskazano poniżej</w:t>
            </w:r>
            <w:r w:rsidR="00FC4B69">
              <w:rPr>
                <w:rFonts w:ascii="Times New Roman" w:hAnsi="Times New Roman"/>
                <w:sz w:val="24"/>
              </w:rPr>
              <w:t xml:space="preserve"> w odn</w:t>
            </w:r>
            <w:r>
              <w:rPr>
                <w:rFonts w:ascii="Times New Roman" w:hAnsi="Times New Roman"/>
                <w:sz w:val="24"/>
              </w:rPr>
              <w:t>iesieniu do wpływów</w:t>
            </w:r>
            <w:r w:rsidR="00FC4B69">
              <w:rPr>
                <w:rFonts w:ascii="Times New Roman" w:hAnsi="Times New Roman"/>
                <w:sz w:val="24"/>
              </w:rPr>
              <w:t xml:space="preserve"> i wyp</w:t>
            </w:r>
            <w:r>
              <w:rPr>
                <w:rFonts w:ascii="Times New Roman" w:hAnsi="Times New Roman"/>
                <w:sz w:val="24"/>
              </w:rPr>
              <w:t>ływów).</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58D56E23" w:rsidR="00933ADA" w:rsidRPr="002A677E" w:rsidRDefault="00933ADA" w:rsidP="00822842">
            <w:pPr>
              <w:pStyle w:val="InstructionsText"/>
            </w:pPr>
            <w:r>
              <w:t>Zabezpieczenie, które ma wpływ na wartość ekspozycji (np. gdy jest stosowane dla celów technik ograniczania ryzyka kredytowego</w:t>
            </w:r>
            <w:r w:rsidR="00FC4B69">
              <w:t xml:space="preserve"> z uwz</w:t>
            </w:r>
            <w:r>
              <w:t>ględnieniem efektów substytucyjnych</w:t>
            </w:r>
            <w:r w:rsidR="00FC4B69">
              <w:t xml:space="preserve"> w odn</w:t>
            </w:r>
            <w:r>
              <w:t>iesieniu do ekspozycji), jest ograniczone do wartości ekspozycji.</w:t>
            </w:r>
          </w:p>
          <w:p w14:paraId="3EDD5442" w14:textId="78A2D642" w:rsidR="00933ADA" w:rsidRPr="002A677E" w:rsidRDefault="00933ADA" w:rsidP="00822842">
            <w:pPr>
              <w:pStyle w:val="InstructionsText"/>
            </w:pPr>
            <w:r>
              <w:t>Należy</w:t>
            </w:r>
            <w:r w:rsidR="00FC4B69">
              <w:t xml:space="preserve"> w tym</w:t>
            </w:r>
            <w:r>
              <w:t xml:space="preserve"> miejscu zgłosić następujące pozycje:</w:t>
            </w:r>
          </w:p>
          <w:p w14:paraId="4BF643C3" w14:textId="0062CFD4"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lastRenderedPageBreak/>
              <w:t>zabezpieczenie włączone zgodnie</w:t>
            </w:r>
            <w:r w:rsidR="00FC4B69">
              <w:rPr>
                <w:rFonts w:ascii="Times New Roman" w:hAnsi="Times New Roman"/>
                <w:sz w:val="24"/>
              </w:rPr>
              <w:t xml:space="preserve"> z art</w:t>
            </w:r>
            <w:r>
              <w:rPr>
                <w:rFonts w:ascii="Times New Roman" w:hAnsi="Times New Roman"/>
                <w:sz w:val="24"/>
              </w:rPr>
              <w:t xml:space="preserve">. 222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(uproszczona metoda ujmowania zabezpieczeń finansowych);</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uznaną ochronę kredytową nierzeczywistą.</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OCHRONA KREDYTOWA NIERZECZYWISTA: WARTOŚCI SKORYGOWANE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5501FC5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Ochrona kredytowa nierzeczywista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9,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34–236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OCHRONA KREDYTOWA RZECZYWISTA</w:t>
            </w:r>
          </w:p>
          <w:p w14:paraId="2DC24B4F" w14:textId="77777777" w:rsidR="00933ADA" w:rsidRPr="002A677E" w:rsidRDefault="00933ADA" w:rsidP="00822842">
            <w:pPr>
              <w:spacing w:before="0" w:after="0"/>
              <w:rPr>
                <w:rFonts w:ascii="Times New Roman" w:hAnsi="Times New Roman"/>
                <w:sz w:val="24"/>
              </w:rPr>
            </w:pPr>
          </w:p>
          <w:p w14:paraId="11CFD7A4" w14:textId="53EC7E5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Ochrona kredytowa rzeczywista zdefiniowana</w:t>
            </w:r>
            <w:r w:rsidR="00FC4B69">
              <w:rPr>
                <w:rFonts w:ascii="Times New Roman" w:hAnsi="Times New Roman"/>
                <w:sz w:val="24"/>
              </w:rPr>
              <w:t xml:space="preserve"> w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zgodnie</w:t>
            </w:r>
            <w:r w:rsidR="00FC4B69">
              <w:rPr>
                <w:rFonts w:ascii="Times New Roman" w:hAnsi="Times New Roman"/>
                <w:sz w:val="24"/>
              </w:rPr>
              <w:t xml:space="preserve"> z art</w:t>
            </w:r>
            <w:r>
              <w:rPr>
                <w:rFonts w:ascii="Times New Roman" w:hAnsi="Times New Roman"/>
                <w:sz w:val="24"/>
              </w:rPr>
              <w:t>. 249 ust. 2 akapit pierwszy tego rozporządzenia oraz zgodnie</w:t>
            </w:r>
            <w:r w:rsidR="00FC4B69">
              <w:rPr>
                <w:rFonts w:ascii="Times New Roman" w:hAnsi="Times New Roman"/>
                <w:sz w:val="24"/>
              </w:rPr>
              <w:t xml:space="preserve"> z art</w:t>
            </w:r>
            <w:r>
              <w:rPr>
                <w:rFonts w:ascii="Times New Roman" w:hAnsi="Times New Roman"/>
                <w:sz w:val="24"/>
              </w:rPr>
              <w:t>. 195, 197</w:t>
            </w:r>
            <w:r w:rsidR="00FC4B69">
              <w:rPr>
                <w:rFonts w:ascii="Times New Roman" w:hAnsi="Times New Roman"/>
                <w:sz w:val="24"/>
              </w:rPr>
              <w:t xml:space="preserve"> i 2</w:t>
            </w:r>
            <w:r>
              <w:rPr>
                <w:rFonts w:ascii="Times New Roman" w:hAnsi="Times New Roman"/>
                <w:sz w:val="24"/>
              </w:rPr>
              <w:t>00 tego rozporządzenia.</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24BF5F0F" w:rsidR="00933ADA" w:rsidRPr="002A677E" w:rsidRDefault="00933ADA" w:rsidP="00822842">
            <w:pPr>
              <w:spacing w:before="0" w:after="0"/>
              <w:rPr>
                <w:rFonts w:ascii="Times New Roman" w:hAnsi="Times New Roman"/>
                <w:sz w:val="24"/>
              </w:rPr>
            </w:pPr>
            <w:r>
              <w:rPr>
                <w:rFonts w:ascii="Times New Roman" w:hAnsi="Times New Roman"/>
                <w:sz w:val="24"/>
              </w:rPr>
              <w:t>Obligacje powiązane</w:t>
            </w:r>
            <w:r w:rsidR="00FC4B69">
              <w:rPr>
                <w:rFonts w:ascii="Times New Roman" w:hAnsi="Times New Roman"/>
                <w:sz w:val="24"/>
              </w:rPr>
              <w:t xml:space="preserve"> z ryz</w:t>
            </w:r>
            <w:r>
              <w:rPr>
                <w:rFonts w:ascii="Times New Roman" w:hAnsi="Times New Roman"/>
                <w:sz w:val="24"/>
              </w:rPr>
              <w:t>ykiem kredytowym oraz kompensowanie pozycji bilansowych zgodnie</w:t>
            </w:r>
            <w:r w:rsidR="00FC4B69">
              <w:rPr>
                <w:rFonts w:ascii="Times New Roman" w:hAnsi="Times New Roman"/>
                <w:sz w:val="24"/>
              </w:rPr>
              <w:t xml:space="preserve"> z art</w:t>
            </w:r>
            <w:r>
              <w:rPr>
                <w:rFonts w:ascii="Times New Roman" w:hAnsi="Times New Roman"/>
                <w:sz w:val="24"/>
              </w:rPr>
              <w:t>. 218</w:t>
            </w:r>
            <w:r w:rsidR="00FC4B69">
              <w:rPr>
                <w:rFonts w:ascii="Times New Roman" w:hAnsi="Times New Roman"/>
                <w:sz w:val="24"/>
              </w:rPr>
              <w:t xml:space="preserve"> i 2</w:t>
            </w:r>
            <w:r>
              <w:rPr>
                <w:rFonts w:ascii="Times New Roman" w:hAnsi="Times New Roman"/>
                <w:sz w:val="24"/>
              </w:rPr>
              <w:t xml:space="preserve">19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traktuje się jak zabezpieczenie gotówkowe.</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SUBSTYTUCJA EKSPOZYCJI W WYNIKU OGRANICZANIA RYZYKA KREDYTOWEGO:</w:t>
            </w:r>
          </w:p>
          <w:p w14:paraId="3B3071C7" w14:textId="77777777" w:rsidR="00933ADA" w:rsidRPr="002A677E" w:rsidRDefault="00933ADA" w:rsidP="00822842">
            <w:pPr>
              <w:spacing w:before="0" w:after="0"/>
              <w:rPr>
                <w:rFonts w:ascii="Times New Roman" w:hAnsi="Times New Roman"/>
                <w:b/>
                <w:sz w:val="24"/>
                <w:u w:val="single"/>
              </w:rPr>
            </w:pPr>
          </w:p>
          <w:p w14:paraId="4C89A700" w14:textId="09AE0FF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Zgłasza się wpływy</w:t>
            </w:r>
            <w:r w:rsidR="00FC4B69">
              <w:rPr>
                <w:rFonts w:ascii="Times New Roman" w:hAnsi="Times New Roman"/>
                <w:sz w:val="24"/>
              </w:rPr>
              <w:t xml:space="preserve"> i wyp</w:t>
            </w:r>
            <w:r>
              <w:rPr>
                <w:rFonts w:ascii="Times New Roman" w:hAnsi="Times New Roman"/>
                <w:sz w:val="24"/>
              </w:rPr>
              <w:t>ływy</w:t>
            </w:r>
            <w:r w:rsidR="00FC4B69">
              <w:rPr>
                <w:rFonts w:ascii="Times New Roman" w:hAnsi="Times New Roman"/>
                <w:sz w:val="24"/>
              </w:rPr>
              <w:t xml:space="preserve"> w obr</w:t>
            </w:r>
            <w:r>
              <w:rPr>
                <w:rFonts w:ascii="Times New Roman" w:hAnsi="Times New Roman"/>
                <w:sz w:val="24"/>
              </w:rPr>
              <w:t>ębie tych samych kategorii ekspozycji i,</w:t>
            </w:r>
            <w:r w:rsidR="00FC4B69">
              <w:rPr>
                <w:rFonts w:ascii="Times New Roman" w:hAnsi="Times New Roman"/>
                <w:sz w:val="24"/>
              </w:rPr>
              <w:t xml:space="preserve"> w sto</w:t>
            </w:r>
            <w:r>
              <w:rPr>
                <w:rFonts w:ascii="Times New Roman" w:hAnsi="Times New Roman"/>
                <w:sz w:val="24"/>
              </w:rPr>
              <w:t>sownych przypadkach, wag ryzyka lub klas jakości dłużnika.</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WYPŁYWY RAZEM</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46BC6A6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 222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35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sidR="00FC4B69">
              <w:rPr>
                <w:rFonts w:ascii="Times New Roman" w:hAnsi="Times New Roman"/>
                <w:sz w:val="24"/>
              </w:rPr>
              <w:t xml:space="preserve"> i 2</w:t>
            </w:r>
            <w:r>
              <w:rPr>
                <w:rFonts w:ascii="Times New Roman" w:hAnsi="Times New Roman"/>
                <w:sz w:val="24"/>
              </w:rPr>
              <w:t xml:space="preserve"> oraz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36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9AB12A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Wypływy odpowiadają zabezpieczonej części „ekspozycji po odliczeniu korekt wartości</w:t>
            </w:r>
            <w:r w:rsidR="00FC4B69">
              <w:rPr>
                <w:rFonts w:ascii="Times New Roman" w:hAnsi="Times New Roman"/>
                <w:sz w:val="24"/>
              </w:rPr>
              <w:t xml:space="preserve"> i rez</w:t>
            </w:r>
            <w:r>
              <w:rPr>
                <w:rFonts w:ascii="Times New Roman" w:hAnsi="Times New Roman"/>
                <w:sz w:val="24"/>
              </w:rPr>
              <w:t>erw”, którą to część odlicza się od kategorii ekspozycji dłużnika i,</w:t>
            </w:r>
            <w:r w:rsidR="00FC4B69">
              <w:rPr>
                <w:rFonts w:ascii="Times New Roman" w:hAnsi="Times New Roman"/>
                <w:sz w:val="24"/>
              </w:rPr>
              <w:t xml:space="preserve"> w sto</w:t>
            </w:r>
            <w:r>
              <w:rPr>
                <w:rFonts w:ascii="Times New Roman" w:hAnsi="Times New Roman"/>
                <w:sz w:val="24"/>
              </w:rPr>
              <w:t>sownych przypadkach, od klasy jakości lub puli dłużnika,</w:t>
            </w:r>
            <w:r w:rsidR="00FC4B69">
              <w:rPr>
                <w:rFonts w:ascii="Times New Roman" w:hAnsi="Times New Roman"/>
                <w:sz w:val="24"/>
              </w:rPr>
              <w:t xml:space="preserve"> a nas</w:t>
            </w:r>
            <w:r>
              <w:rPr>
                <w:rFonts w:ascii="Times New Roman" w:hAnsi="Times New Roman"/>
                <w:sz w:val="24"/>
              </w:rPr>
              <w:t>tępnie przypisuje kategorii ekspozycji dostawcy ochrony kredytowej i,</w:t>
            </w:r>
            <w:r w:rsidR="00FC4B69">
              <w:rPr>
                <w:rFonts w:ascii="Times New Roman" w:hAnsi="Times New Roman"/>
                <w:sz w:val="24"/>
              </w:rPr>
              <w:t xml:space="preserve"> w sto</w:t>
            </w:r>
            <w:r>
              <w:rPr>
                <w:rFonts w:ascii="Times New Roman" w:hAnsi="Times New Roman"/>
                <w:sz w:val="24"/>
              </w:rPr>
              <w:t xml:space="preserve">sownych przypadkach, wadze ryzyka lub klasie jakości dłużnika.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1C976F2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Kwotę tę uznaje się za wpływ do kategorii ekspozycji dostawcy ochrony kredytowej i,</w:t>
            </w:r>
            <w:r w:rsidR="00FC4B69">
              <w:rPr>
                <w:rFonts w:ascii="Times New Roman" w:hAnsi="Times New Roman"/>
                <w:sz w:val="24"/>
              </w:rPr>
              <w:t xml:space="preserve"> w sto</w:t>
            </w:r>
            <w:r>
              <w:rPr>
                <w:rFonts w:ascii="Times New Roman" w:hAnsi="Times New Roman"/>
                <w:sz w:val="24"/>
              </w:rPr>
              <w:t>sownych przypadkach, do wag ryzyka lub klas jakości dłużnika.</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WPŁYWY RAZEM</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66AC992E" w:rsidR="00933ADA" w:rsidRPr="002A677E" w:rsidRDefault="00933ADA" w:rsidP="00822842">
            <w:pPr>
              <w:spacing w:before="0" w:after="0"/>
              <w:rPr>
                <w:rFonts w:ascii="Times New Roman" w:hAnsi="Times New Roman"/>
                <w:sz w:val="24"/>
              </w:rPr>
            </w:pPr>
            <w:r>
              <w:rPr>
                <w:rFonts w:ascii="Times New Roman" w:hAnsi="Times New Roman"/>
                <w:sz w:val="24"/>
              </w:rPr>
              <w:t>Pozycje sekurytyzacyjne, które są dłużnymi papierami wartościowymi</w:t>
            </w:r>
            <w:r w:rsidR="00FC4B69">
              <w:rPr>
                <w:rFonts w:ascii="Times New Roman" w:hAnsi="Times New Roman"/>
                <w:sz w:val="24"/>
              </w:rPr>
              <w:t xml:space="preserve"> i któ</w:t>
            </w:r>
            <w:r>
              <w:rPr>
                <w:rFonts w:ascii="Times New Roman" w:hAnsi="Times New Roman"/>
                <w:sz w:val="24"/>
              </w:rPr>
              <w:t>re stosowane są jako uznane zabezpieczenie finansowe zgodnie</w:t>
            </w:r>
            <w:r w:rsidR="00FC4B69">
              <w:rPr>
                <w:rFonts w:ascii="Times New Roman" w:hAnsi="Times New Roman"/>
                <w:sz w:val="24"/>
              </w:rPr>
              <w:t xml:space="preserve"> z art</w:t>
            </w:r>
            <w:r>
              <w:rPr>
                <w:rFonts w:ascii="Times New Roman" w:hAnsi="Times New Roman"/>
                <w:sz w:val="24"/>
              </w:rPr>
              <w:t xml:space="preserve">. 197 ust. 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zgłasza się</w:t>
            </w:r>
            <w:r w:rsidR="00FC4B69">
              <w:rPr>
                <w:rFonts w:ascii="Times New Roman" w:hAnsi="Times New Roman"/>
                <w:sz w:val="24"/>
              </w:rPr>
              <w:t xml:space="preserve"> w tej</w:t>
            </w:r>
            <w:r>
              <w:rPr>
                <w:rFonts w:ascii="Times New Roman" w:hAnsi="Times New Roman"/>
                <w:sz w:val="24"/>
              </w:rPr>
              <w:t xml:space="preserve"> kolumnie – jeżeli stosowana jest uproszczona metoda ujmowania zabezpieczeń finansowych – jako wpływy.</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141C34ED"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W tej kolumnie uwzględnia się ekspozycje przypisane do odpowiadającej im wagi ryzyka oraz kategorię ekspozycji po uwzględnieniu wypływów</w:t>
            </w:r>
            <w:r w:rsidR="00FC4B69">
              <w:rPr>
                <w:rStyle w:val="FormatvorlageInstructionsTabelleText"/>
                <w:rFonts w:ascii="Times New Roman" w:hAnsi="Times New Roman"/>
                <w:sz w:val="24"/>
              </w:rPr>
              <w:t xml:space="preserve"> i wpł</w:t>
            </w:r>
            <w:r>
              <w:rPr>
                <w:rStyle w:val="FormatvorlageInstructionsTabelleText"/>
                <w:rFonts w:ascii="Times New Roman" w:hAnsi="Times New Roman"/>
                <w:sz w:val="24"/>
              </w:rPr>
              <w:t>ywów wynikających z „technik ograniczania ryzyka kredytowego</w:t>
            </w:r>
            <w:r w:rsidR="00FC4B69">
              <w:rPr>
                <w:rStyle w:val="FormatvorlageInstructionsTabelleText"/>
                <w:rFonts w:ascii="Times New Roman" w:hAnsi="Times New Roman"/>
                <w:sz w:val="24"/>
              </w:rPr>
              <w:t xml:space="preserve"> z uwz</w:t>
            </w:r>
            <w:r>
              <w:rPr>
                <w:rStyle w:val="FormatvorlageInstructionsTabelleText"/>
                <w:rFonts w:ascii="Times New Roman" w:hAnsi="Times New Roman"/>
                <w:sz w:val="24"/>
              </w:rPr>
              <w:t>ględnieniem efektów substytucyjnych</w:t>
            </w:r>
            <w:r w:rsidR="00FC4B69">
              <w:rPr>
                <w:rStyle w:val="FormatvorlageInstructionsTabelleText"/>
                <w:rFonts w:ascii="Times New Roman" w:hAnsi="Times New Roman"/>
                <w:sz w:val="24"/>
              </w:rPr>
              <w:t xml:space="preserve"> w odn</w:t>
            </w:r>
            <w:r>
              <w:rPr>
                <w:rStyle w:val="FormatvorlageInstructionsTabelleText"/>
                <w:rFonts w:ascii="Times New Roman" w:hAnsi="Times New Roman"/>
                <w:sz w:val="24"/>
              </w:rPr>
              <w:t>iesieniu do ekspozycji”.</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TECHNIKI OGRANICZANIA RYZYKA KREDYTOWEGO MAJĄCE WPŁYW NA KWOTĘ EKSPOZYCJI: SKORYGOWANA WARTOŚĆ RZECZYWISTEJ OCHRONY KREDYTOWEJ ZGODNIE Z KOMPLEKSOWĄ METODĄ UJMOWANIA ZABEZPIECZEŃ FINANSOWYCH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6948CDE2" w:rsidR="00933ADA" w:rsidRPr="002A677E" w:rsidRDefault="00933ADA" w:rsidP="00822842">
            <w:pPr>
              <w:pStyle w:val="InstructionsText"/>
            </w:pPr>
            <w:r>
              <w:t xml:space="preserve">Art. 223-228 rozporządzenia (UE) </w:t>
            </w:r>
            <w:r w:rsidRPr="00FC4B69">
              <w:t>nr</w:t>
            </w:r>
            <w:r w:rsidR="00FC4B69" w:rsidRPr="00FC4B69">
              <w:t> </w:t>
            </w:r>
            <w:r w:rsidRPr="00FC4B69">
              <w:t>5</w:t>
            </w:r>
            <w:r>
              <w:t xml:space="preserve">75/2013 </w:t>
            </w:r>
          </w:p>
          <w:p w14:paraId="169BAC4D" w14:textId="1F4BDB94" w:rsidR="00933ADA" w:rsidRPr="002A677E" w:rsidRDefault="00933ADA" w:rsidP="00822842">
            <w:pPr>
              <w:pStyle w:val="InstructionsText"/>
            </w:pPr>
            <w:r>
              <w:t>Zgłoszona kwota musi obejmować także obligacje powiązane</w:t>
            </w:r>
            <w:r w:rsidR="00FC4B69">
              <w:t xml:space="preserve"> z ryz</w:t>
            </w:r>
            <w:r>
              <w:t xml:space="preserve">ykiem kredytowym (art. 218 rozporządzenia (UE) </w:t>
            </w:r>
            <w:r w:rsidRPr="00FC4B69">
              <w:t>nr</w:t>
            </w:r>
            <w:r w:rsidR="00FC4B69" w:rsidRPr="00FC4B69">
              <w:t> </w:t>
            </w:r>
            <w:r w:rsidRPr="00FC4B69">
              <w:t>5</w:t>
            </w:r>
            <w:r>
              <w:t>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W PEŁNI SKORYGOWANA WARTOŚĆ EKSPOZYCJI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5BC38EF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Wartość ekspozycji</w:t>
            </w:r>
            <w:r w:rsidR="00FC4B69">
              <w:rPr>
                <w:rFonts w:ascii="Times New Roman" w:hAnsi="Times New Roman"/>
                <w:sz w:val="24"/>
              </w:rPr>
              <w:t xml:space="preserve"> z tyt</w:t>
            </w:r>
            <w:r>
              <w:rPr>
                <w:rFonts w:ascii="Times New Roman" w:hAnsi="Times New Roman"/>
                <w:sz w:val="24"/>
              </w:rPr>
              <w:t>ułu pozycji sekurytyzacyjnych obliczonych zgodnie</w:t>
            </w:r>
            <w:r w:rsidR="00FC4B69">
              <w:rPr>
                <w:rFonts w:ascii="Times New Roman" w:hAnsi="Times New Roman"/>
                <w:sz w:val="24"/>
              </w:rPr>
              <w:t xml:space="preserve"> z art</w:t>
            </w:r>
            <w:r>
              <w:rPr>
                <w:rFonts w:ascii="Times New Roman" w:hAnsi="Times New Roman"/>
                <w:sz w:val="24"/>
              </w:rPr>
              <w:t xml:space="preserve">. 248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ale bez stosowania współczynników konwersji określonych</w:t>
            </w:r>
            <w:r w:rsidR="00FC4B69">
              <w:rPr>
                <w:rFonts w:ascii="Times New Roman" w:hAnsi="Times New Roman"/>
                <w:sz w:val="24"/>
              </w:rPr>
              <w:t xml:space="preserve"> w art</w:t>
            </w:r>
            <w:r>
              <w:rPr>
                <w:rFonts w:ascii="Times New Roman" w:hAnsi="Times New Roman"/>
                <w:sz w:val="24"/>
              </w:rPr>
              <w:t xml:space="preserve">. 248 ust. 1 lit. b) tego rozporządzenia.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142F9693"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W TYM: WEDŁUG WSPÓŁCZYNNIKA KONWERSJI KREDYTOWEJ WYNOSZĄCEGO </w:t>
            </w:r>
            <w:r w:rsidRPr="00FC4B69">
              <w:rPr>
                <w:rFonts w:ascii="Times New Roman" w:hAnsi="Times New Roman"/>
                <w:b/>
                <w:sz w:val="24"/>
                <w:u w:val="single"/>
              </w:rPr>
              <w:t>0</w:t>
            </w:r>
            <w:r w:rsidR="00FC4B69" w:rsidRPr="00FC4B69">
              <w:rPr>
                <w:rFonts w:ascii="Times New Roman" w:hAnsi="Times New Roman"/>
                <w:b/>
                <w:sz w:val="24"/>
                <w:u w:val="single"/>
              </w:rPr>
              <w:t> </w:t>
            </w:r>
            <w:r w:rsidRPr="00FC4B69">
              <w:rPr>
                <w:rFonts w:ascii="Times New Roman" w:hAnsi="Times New Roman"/>
                <w:b/>
                <w:sz w:val="24"/>
                <w:u w:val="single"/>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5D37CC6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 248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5161C91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tym kontekście współczynnik konwersji zdefiniowany jest</w:t>
            </w:r>
            <w:r w:rsidR="00FC4B69">
              <w:rPr>
                <w:rFonts w:ascii="Times New Roman" w:hAnsi="Times New Roman"/>
                <w:sz w:val="24"/>
              </w:rPr>
              <w:t xml:space="preserve"> w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156C80C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Dla celów sprawozdawczości</w:t>
            </w:r>
            <w:r w:rsidR="00FC4B69">
              <w:rPr>
                <w:rFonts w:ascii="Times New Roman" w:hAnsi="Times New Roman"/>
                <w:sz w:val="24"/>
              </w:rPr>
              <w:t xml:space="preserve"> w peł</w:t>
            </w:r>
            <w:r>
              <w:rPr>
                <w:rFonts w:ascii="Times New Roman" w:hAnsi="Times New Roman"/>
                <w:sz w:val="24"/>
              </w:rPr>
              <w:t>ni skorygowaną wartość ekspozycji (E*) zgłasza się dla współczynnika konwersji równego 0</w:t>
            </w:r>
            <w:r>
              <w:t> </w:t>
            </w:r>
            <w:r>
              <w:rPr>
                <w:rFonts w:ascii="Times New Roman" w:hAnsi="Times New Roman"/>
                <w:sz w:val="24"/>
              </w:rPr>
              <w:t>%.</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NIEPODLEGAJĄCE ZWROTOWI RABATY OD CENY ZAKUPU</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584E6B6E" w:rsidR="00933ADA" w:rsidRPr="002A677E" w:rsidRDefault="00933ADA" w:rsidP="00822842">
            <w:pPr>
              <w:spacing w:before="0" w:after="0"/>
              <w:jc w:val="left"/>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248 ust. 1 lit. d)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instytucja inicjująca może odliczyć od wartości ekspozycji pozycji sekurytyzacyjnej, której przypisano wagę ryzyka 1 250 %, wszelkie niepodlegające odliczeniu rabaty cenowe przy zakupie związane</w:t>
            </w:r>
            <w:r w:rsidR="00FC4B69">
              <w:rPr>
                <w:rFonts w:ascii="Times New Roman" w:hAnsi="Times New Roman"/>
                <w:sz w:val="24"/>
              </w:rPr>
              <w:t xml:space="preserve"> z tak</w:t>
            </w:r>
            <w:r>
              <w:rPr>
                <w:rFonts w:ascii="Times New Roman" w:hAnsi="Times New Roman"/>
                <w:sz w:val="24"/>
              </w:rPr>
              <w:t>imi ekspozycjami bazowymi</w:t>
            </w:r>
            <w:r w:rsidR="00FC4B69">
              <w:rPr>
                <w:rFonts w:ascii="Times New Roman" w:hAnsi="Times New Roman"/>
                <w:sz w:val="24"/>
              </w:rPr>
              <w:t xml:space="preserve"> w zak</w:t>
            </w:r>
            <w:r>
              <w:rPr>
                <w:rFonts w:ascii="Times New Roman" w:hAnsi="Times New Roman"/>
                <w:sz w:val="24"/>
              </w:rPr>
              <w:t>resie,</w:t>
            </w:r>
            <w:r w:rsidR="00FC4B69">
              <w:rPr>
                <w:rFonts w:ascii="Times New Roman" w:hAnsi="Times New Roman"/>
                <w:sz w:val="24"/>
              </w:rPr>
              <w:t xml:space="preserve"> w jak</w:t>
            </w:r>
            <w:r>
              <w:rPr>
                <w:rFonts w:ascii="Times New Roman" w:hAnsi="Times New Roman"/>
                <w:sz w:val="24"/>
              </w:rPr>
              <w:t>im takie odliczenia spowodowały redukcję funduszy własnych.</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KOREKTY Z TYTUŁU SZCZEGÓLNEGO RYZYKA KREDYTOWEGO W ODNIESIENIU DO EKSPOZYCJI BAZOWYCH</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6DD2E2DE" w:rsidR="00933ADA" w:rsidRPr="002A677E" w:rsidRDefault="00933ADA" w:rsidP="00822842">
            <w:pPr>
              <w:spacing w:before="0" w:after="0"/>
              <w:jc w:val="left"/>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248 ust. 1 lit. d)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instytucja inicjująca może odliczyć od wartości ekspozycji pozycji sekurytyzacyjnej, której przypisano wagę ryzyka 1 250 % lub którą odliczono od kapitału podstawowego Tier I, kwotę korekt</w:t>
            </w:r>
            <w:r w:rsidR="00FC4B69">
              <w:rPr>
                <w:rFonts w:ascii="Times New Roman" w:hAnsi="Times New Roman"/>
                <w:sz w:val="24"/>
              </w:rPr>
              <w:t xml:space="preserve"> z tyt</w:t>
            </w:r>
            <w:r>
              <w:rPr>
                <w:rFonts w:ascii="Times New Roman" w:hAnsi="Times New Roman"/>
                <w:sz w:val="24"/>
              </w:rPr>
              <w:t>ułu szczególnego ryzyka kredytowego</w:t>
            </w:r>
            <w:r w:rsidR="00FC4B69">
              <w:rPr>
                <w:rFonts w:ascii="Times New Roman" w:hAnsi="Times New Roman"/>
                <w:sz w:val="24"/>
              </w:rPr>
              <w:t xml:space="preserve"> z tyt</w:t>
            </w:r>
            <w:r>
              <w:rPr>
                <w:rFonts w:ascii="Times New Roman" w:hAnsi="Times New Roman"/>
                <w:sz w:val="24"/>
              </w:rPr>
              <w:t>ułu ekspozycji bazowych, jak określono zgodnie</w:t>
            </w:r>
            <w:r w:rsidR="00FC4B69">
              <w:rPr>
                <w:rFonts w:ascii="Times New Roman" w:hAnsi="Times New Roman"/>
                <w:sz w:val="24"/>
              </w:rPr>
              <w:t xml:space="preserve"> z art</w:t>
            </w:r>
            <w:r>
              <w:rPr>
                <w:rFonts w:ascii="Times New Roman" w:hAnsi="Times New Roman"/>
                <w:sz w:val="24"/>
              </w:rPr>
              <w:t xml:space="preserve">. 110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WARTOŚĆ EKSPOZYCJI</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0659BAE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Wartość ekspozycji</w:t>
            </w:r>
            <w:r w:rsidR="00FC4B69">
              <w:rPr>
                <w:rFonts w:ascii="Times New Roman" w:hAnsi="Times New Roman"/>
                <w:sz w:val="24"/>
              </w:rPr>
              <w:t xml:space="preserve"> z tyt</w:t>
            </w:r>
            <w:r>
              <w:rPr>
                <w:rFonts w:ascii="Times New Roman" w:hAnsi="Times New Roman"/>
                <w:sz w:val="24"/>
              </w:rPr>
              <w:t>ułu pozycji sekurytyzacyjnych obliczonych zgodnie</w:t>
            </w:r>
            <w:r w:rsidR="00FC4B69">
              <w:rPr>
                <w:rFonts w:ascii="Times New Roman" w:hAnsi="Times New Roman"/>
                <w:sz w:val="24"/>
              </w:rPr>
              <w:t xml:space="preserve"> z art</w:t>
            </w:r>
            <w:r>
              <w:rPr>
                <w:rFonts w:ascii="Times New Roman" w:hAnsi="Times New Roman"/>
                <w:sz w:val="24"/>
              </w:rPr>
              <w:t xml:space="preserve">. 248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WARTOŚĆ EKSPOZYCJI POMNIEJSZAJĄCA FUNDUSZE WŁASNE</w:t>
            </w:r>
          </w:p>
          <w:p w14:paraId="63B6DB34" w14:textId="77777777" w:rsidR="00933ADA" w:rsidRPr="002A677E" w:rsidRDefault="00933ADA" w:rsidP="00822842">
            <w:pPr>
              <w:spacing w:before="0" w:after="0"/>
              <w:jc w:val="left"/>
              <w:rPr>
                <w:rFonts w:ascii="Times New Roman" w:hAnsi="Times New Roman"/>
                <w:sz w:val="24"/>
              </w:rPr>
            </w:pPr>
          </w:p>
          <w:p w14:paraId="79044183" w14:textId="189FB507" w:rsidR="00933ADA" w:rsidRPr="002A677E" w:rsidRDefault="00933ADA" w:rsidP="00822842">
            <w:pPr>
              <w:spacing w:before="0" w:after="0"/>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244 </w:t>
            </w:r>
            <w:r>
              <w:rPr>
                <w:rStyle w:val="FormatvorlageInstructionsTabelleText"/>
                <w:rFonts w:ascii="Times New Roman" w:hAnsi="Times New Roman"/>
                <w:sz w:val="24"/>
              </w:rPr>
              <w:t xml:space="preserve">ust. 1 lit. b), </w:t>
            </w:r>
            <w:r w:rsidRPr="00FC4B69">
              <w:rPr>
                <w:rStyle w:val="FormatvorlageInstructionsTabelleText"/>
                <w:rFonts w:ascii="Times New Roman" w:hAnsi="Times New Roman"/>
                <w:sz w:val="24"/>
              </w:rPr>
              <w:t>art.</w:t>
            </w:r>
            <w:r w:rsidR="00FC4B69" w:rsidRPr="00FC4B69">
              <w:rPr>
                <w:rStyle w:val="FormatvorlageInstructionsTabelleText"/>
                <w:rFonts w:ascii="Times New Roman" w:hAnsi="Times New Roman"/>
                <w:sz w:val="24"/>
              </w:rPr>
              <w:t> </w:t>
            </w:r>
            <w:r w:rsidRPr="00FC4B69">
              <w:rPr>
                <w:rStyle w:val="FormatvorlageInstructionsTabelleText"/>
                <w:rFonts w:ascii="Times New Roman" w:hAnsi="Times New Roman"/>
                <w:sz w:val="24"/>
              </w:rPr>
              <w:t>2</w:t>
            </w:r>
            <w:r>
              <w:rPr>
                <w:rStyle w:val="FormatvorlageInstructionsTabelleText"/>
                <w:rFonts w:ascii="Times New Roman" w:hAnsi="Times New Roman"/>
                <w:sz w:val="24"/>
              </w:rPr>
              <w:t xml:space="preserve">45 </w:t>
            </w:r>
            <w:r w:rsidRPr="00FC4B69">
              <w:rPr>
                <w:rStyle w:val="FormatvorlageInstructionsTabelleText"/>
                <w:rFonts w:ascii="Times New Roman" w:hAnsi="Times New Roman"/>
                <w:sz w:val="24"/>
              </w:rPr>
              <w:t>ust.</w:t>
            </w:r>
            <w:r w:rsidR="00FC4B69" w:rsidRPr="00FC4B69">
              <w:rPr>
                <w:rStyle w:val="FormatvorlageInstructionsTabelleText"/>
                <w:rFonts w:ascii="Times New Roman" w:hAnsi="Times New Roman"/>
                <w:sz w:val="24"/>
              </w:rPr>
              <w:t> </w:t>
            </w:r>
            <w:r w:rsidRPr="00FC4B69">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FC4B69">
              <w:rPr>
                <w:rStyle w:val="FormatvorlageInstructionsTabelleText"/>
                <w:rFonts w:ascii="Times New Roman" w:hAnsi="Times New Roman"/>
                <w:sz w:val="24"/>
              </w:rPr>
              <w:t>lit.</w:t>
            </w:r>
            <w:r w:rsidR="00FC4B69" w:rsidRPr="00FC4B69">
              <w:rPr>
                <w:rStyle w:val="FormatvorlageInstructionsTabelleText"/>
                <w:rFonts w:ascii="Times New Roman" w:hAnsi="Times New Roman"/>
                <w:sz w:val="24"/>
              </w:rPr>
              <w:t> </w:t>
            </w:r>
            <w:r w:rsidRPr="00FC4B69">
              <w:rPr>
                <w:rStyle w:val="FormatvorlageInstructionsTabelleText"/>
                <w:rFonts w:ascii="Times New Roman" w:hAnsi="Times New Roman"/>
                <w:sz w:val="24"/>
              </w:rPr>
              <w:t>b)</w:t>
            </w:r>
            <w:r>
              <w:rPr>
                <w:rStyle w:val="FormatvorlageInstructionsTabelleText"/>
                <w:rFonts w:ascii="Times New Roman" w:hAnsi="Times New Roman"/>
                <w:sz w:val="24"/>
              </w:rPr>
              <w:t xml:space="preserve"> oraz art. 253 ust. 1 rozporządzenia (UE) </w:t>
            </w:r>
            <w:r w:rsidRPr="00FC4B69">
              <w:rPr>
                <w:rStyle w:val="FormatvorlageInstructionsTabelleText"/>
                <w:rFonts w:ascii="Times New Roman" w:hAnsi="Times New Roman"/>
                <w:sz w:val="24"/>
              </w:rPr>
              <w:t>nr</w:t>
            </w:r>
            <w:r w:rsidR="00FC4B69" w:rsidRPr="00FC4B69">
              <w:rPr>
                <w:rStyle w:val="FormatvorlageInstructionsTabelleText"/>
                <w:rFonts w:ascii="Times New Roman" w:hAnsi="Times New Roman"/>
                <w:sz w:val="24"/>
              </w:rPr>
              <w:t> </w:t>
            </w:r>
            <w:r w:rsidRPr="00FC4B69">
              <w:rPr>
                <w:rStyle w:val="FormatvorlageInstructionsTabelleText"/>
                <w:rFonts w:ascii="Times New Roman" w:hAnsi="Times New Roman"/>
                <w:sz w:val="24"/>
              </w:rPr>
              <w:t>5</w:t>
            </w:r>
            <w:r>
              <w:rPr>
                <w:rStyle w:val="FormatvorlageInstructionsTabelleText"/>
                <w:rFonts w:ascii="Times New Roman" w:hAnsi="Times New Roman"/>
                <w:sz w:val="24"/>
              </w:rPr>
              <w:t>75/2013</w:t>
            </w:r>
            <w:r w:rsidR="00FC4B69">
              <w:rPr>
                <w:rStyle w:val="FormatvorlageInstructionsTabelleText"/>
                <w:rFonts w:ascii="Times New Roman" w:hAnsi="Times New Roman"/>
                <w:sz w:val="24"/>
              </w:rPr>
              <w:t xml:space="preserve"> w prz</w:t>
            </w:r>
            <w:r>
              <w:rPr>
                <w:rStyle w:val="FormatvorlageInstructionsTabelleText"/>
                <w:rFonts w:ascii="Times New Roman" w:hAnsi="Times New Roman"/>
                <w:sz w:val="24"/>
              </w:rPr>
              <w:t>ypadku pozycji sekurytyzacyjnej, której przypisuje się wagę ryzyka równą 1 250</w:t>
            </w:r>
            <w:r>
              <w:rPr>
                <w:rFonts w:ascii="Times New Roman" w:hAnsi="Times New Roman"/>
                <w:sz w:val="24"/>
              </w:rPr>
              <w:t> %, instytucje mogą</w:t>
            </w:r>
            <w:r w:rsidR="00FC4B69">
              <w:rPr>
                <w:rFonts w:ascii="Times New Roman" w:hAnsi="Times New Roman"/>
                <w:sz w:val="24"/>
              </w:rPr>
              <w:t xml:space="preserve"> w ram</w:t>
            </w:r>
            <w:r>
              <w:rPr>
                <w:rFonts w:ascii="Times New Roman" w:hAnsi="Times New Roman"/>
                <w:sz w:val="24"/>
              </w:rPr>
              <w:t>ach rozwiązania alternatywnego</w:t>
            </w:r>
            <w:r w:rsidR="00FC4B69">
              <w:rPr>
                <w:rFonts w:ascii="Times New Roman" w:hAnsi="Times New Roman"/>
                <w:sz w:val="24"/>
              </w:rPr>
              <w:t xml:space="preserve"> w sto</w:t>
            </w:r>
            <w:r>
              <w:rPr>
                <w:rFonts w:ascii="Times New Roman" w:hAnsi="Times New Roman"/>
                <w:sz w:val="24"/>
              </w:rPr>
              <w:t>sunku do uwzględniania danej pozycji przy obliczaniu kwot ekspozycji ważonych ryzykiem odliczyć od funduszy własnych wartość ekspozycji danej pozycji.</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WARTOŚĆ EKSPOZYCJI PODLEGAJĄCA WAGOM RYZYKA</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5EC96E81" w:rsidR="00933ADA" w:rsidRPr="002A677E" w:rsidRDefault="00933ADA" w:rsidP="00822842">
            <w:pPr>
              <w:spacing w:before="0" w:after="0"/>
              <w:rPr>
                <w:rFonts w:ascii="Times New Roman" w:hAnsi="Times New Roman"/>
                <w:sz w:val="24"/>
              </w:rPr>
            </w:pPr>
            <w:r>
              <w:rPr>
                <w:rFonts w:ascii="Times New Roman" w:hAnsi="Times New Roman"/>
                <w:sz w:val="24"/>
              </w:rPr>
              <w:t>Wartość ekspozycji pomniejszona</w:t>
            </w:r>
            <w:r w:rsidR="00FC4B69">
              <w:rPr>
                <w:rFonts w:ascii="Times New Roman" w:hAnsi="Times New Roman"/>
                <w:sz w:val="24"/>
              </w:rPr>
              <w:t xml:space="preserve"> o war</w:t>
            </w:r>
            <w:r>
              <w:rPr>
                <w:rFonts w:ascii="Times New Roman" w:hAnsi="Times New Roman"/>
                <w:sz w:val="24"/>
              </w:rPr>
              <w:t>tość ekspozycji odejmowaną od funduszy własnych.</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21CF0B2F"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Ekspozycje według metody SEC-IRBA według przedziałów wag ryzyka.</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W TYM: OBLICZONE ZGODNIE Z ART. 255 UST. 4 (NABYTE WIERZYTELNOŚCI) </w:t>
            </w:r>
          </w:p>
          <w:p w14:paraId="5312F86B" w14:textId="77777777" w:rsidR="00933ADA" w:rsidRPr="002A677E" w:rsidRDefault="00933ADA" w:rsidP="00822842">
            <w:pPr>
              <w:spacing w:before="0" w:after="0"/>
              <w:jc w:val="left"/>
              <w:rPr>
                <w:rFonts w:ascii="Times New Roman" w:hAnsi="Times New Roman"/>
                <w:sz w:val="24"/>
              </w:rPr>
            </w:pPr>
          </w:p>
          <w:p w14:paraId="19D10FC5" w14:textId="49951EBF"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255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61EFC8A9" w:rsidR="00933ADA" w:rsidRPr="002A677E" w:rsidRDefault="00933ADA" w:rsidP="00822842">
            <w:pPr>
              <w:spacing w:before="0" w:after="0"/>
              <w:jc w:val="left"/>
              <w:rPr>
                <w:rFonts w:ascii="Times New Roman" w:hAnsi="Times New Roman"/>
                <w:sz w:val="24"/>
              </w:rPr>
            </w:pPr>
            <w:r>
              <w:rPr>
                <w:rFonts w:ascii="Times New Roman" w:hAnsi="Times New Roman"/>
                <w:sz w:val="24"/>
              </w:rPr>
              <w:t>Do celów tej kolumny ekspozycje detaliczne traktuje się jako nabyte wierzytelności detaliczne,</w:t>
            </w:r>
            <w:r w:rsidR="00FC4B69">
              <w:rPr>
                <w:rFonts w:ascii="Times New Roman" w:hAnsi="Times New Roman"/>
                <w:sz w:val="24"/>
              </w:rPr>
              <w:t xml:space="preserve"> a eks</w:t>
            </w:r>
            <w:r>
              <w:rPr>
                <w:rFonts w:ascii="Times New Roman" w:hAnsi="Times New Roman"/>
                <w:sz w:val="24"/>
              </w:rPr>
              <w:t>pozycje niedetaliczne jako nabyte wierzytelności korporacyjne.</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E16840" w:rsidRDefault="00933ADA" w:rsidP="00822842">
            <w:pPr>
              <w:spacing w:before="0" w:after="0"/>
              <w:jc w:val="left"/>
              <w:rPr>
                <w:rFonts w:ascii="Times New Roman" w:hAnsi="Times New Roman"/>
                <w:b/>
                <w:sz w:val="24"/>
                <w:u w:val="single"/>
              </w:rPr>
            </w:pPr>
          </w:p>
          <w:p w14:paraId="6F403E13" w14:textId="67247C5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E9A4123" w14:textId="77777777" w:rsidR="00933ADA" w:rsidRPr="00E16840" w:rsidRDefault="00933ADA" w:rsidP="00822842">
            <w:pPr>
              <w:spacing w:before="0" w:after="0"/>
              <w:jc w:val="left"/>
              <w:rPr>
                <w:rFonts w:ascii="Times New Roman" w:hAnsi="Times New Roman"/>
                <w:sz w:val="24"/>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Ekspozycje SEC-SA według przedziałów wag ryzyka.</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6FF5A58D" w:rsidR="00933ADA" w:rsidRPr="002A677E" w:rsidRDefault="00933ADA" w:rsidP="00822842">
            <w:pPr>
              <w:spacing w:before="0" w:after="0"/>
              <w:jc w:val="left"/>
              <w:rPr>
                <w:rFonts w:ascii="Times New Roman" w:hAnsi="Times New Roman"/>
                <w:sz w:val="24"/>
              </w:rPr>
            </w:pPr>
            <w:r>
              <w:rPr>
                <w:rFonts w:ascii="Times New Roman" w:hAnsi="Times New Roman"/>
                <w:sz w:val="24"/>
              </w:rPr>
              <w:t>Dla wagi ryzyka równej 1 250 % (waga nieznana),</w:t>
            </w:r>
            <w:r w:rsidR="00FC4B69">
              <w:rPr>
                <w:rFonts w:ascii="Times New Roman" w:hAnsi="Times New Roman"/>
                <w:sz w:val="24"/>
              </w:rPr>
              <w:t xml:space="preserve"> w art</w:t>
            </w:r>
            <w:r>
              <w:rPr>
                <w:rFonts w:ascii="Times New Roman" w:hAnsi="Times New Roman"/>
                <w:sz w:val="24"/>
              </w:rPr>
              <w:t xml:space="preserve">. 261 ust. 2 lit. b) akapit czwarty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określono, że pozycji objętej sekurytyzacją przypisuje się wagę ryzyka równą 1 250 %, jeżeli instytucja nie zna stanu zaległości kredytowych</w:t>
            </w:r>
            <w:r w:rsidR="00FC4B69">
              <w:rPr>
                <w:rFonts w:ascii="Times New Roman" w:hAnsi="Times New Roman"/>
                <w:sz w:val="24"/>
              </w:rPr>
              <w:t xml:space="preserve"> w odn</w:t>
            </w:r>
            <w:r>
              <w:rPr>
                <w:rFonts w:ascii="Times New Roman" w:hAnsi="Times New Roman"/>
                <w:sz w:val="24"/>
              </w:rPr>
              <w:t>iesieniu do więcej niż 5 % ekspozycji bazowych</w:t>
            </w:r>
            <w:r w:rsidR="00FC4B69">
              <w:rPr>
                <w:rFonts w:ascii="Times New Roman" w:hAnsi="Times New Roman"/>
                <w:sz w:val="24"/>
              </w:rPr>
              <w:t xml:space="preserve"> w pul</w:t>
            </w:r>
            <w:r>
              <w:rPr>
                <w:rFonts w:ascii="Times New Roman" w:hAnsi="Times New Roman"/>
                <w:sz w:val="24"/>
              </w:rPr>
              <w:t>i.</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42A37726"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c)</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PODZIAŁ WEDŁUG STOPNI JAKOŚCI KREDYTOWEJ (STOPNIE JAKOŚCI KREDYTÓW KRÓTKO- I DŁUGOTERMINOWYCH)</w:t>
            </w:r>
          </w:p>
          <w:p w14:paraId="0F6E1DF4" w14:textId="77777777" w:rsidR="00933ADA" w:rsidRPr="002A677E" w:rsidRDefault="00933ADA" w:rsidP="00822842">
            <w:pPr>
              <w:spacing w:before="0" w:after="0"/>
              <w:rPr>
                <w:rFonts w:ascii="Times New Roman" w:hAnsi="Times New Roman"/>
                <w:sz w:val="24"/>
              </w:rPr>
            </w:pPr>
          </w:p>
          <w:p w14:paraId="0E7FC63A" w14:textId="7BABFA21" w:rsidR="00933ADA" w:rsidRPr="002A677E" w:rsidRDefault="00933ADA" w:rsidP="00822842">
            <w:pPr>
              <w:spacing w:before="0" w:after="0"/>
              <w:rPr>
                <w:rFonts w:ascii="Times New Roman" w:hAnsi="Times New Roman"/>
                <w:sz w:val="24"/>
              </w:rPr>
            </w:pPr>
            <w:r>
              <w:rPr>
                <w:rFonts w:ascii="Times New Roman" w:hAnsi="Times New Roman"/>
                <w:sz w:val="24"/>
              </w:rPr>
              <w:t xml:space="preserve">Art. 263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6E45578" w14:textId="77777777" w:rsidR="00933ADA" w:rsidRPr="002A677E" w:rsidRDefault="00933ADA" w:rsidP="00822842">
            <w:pPr>
              <w:spacing w:before="0" w:after="0"/>
              <w:rPr>
                <w:rFonts w:ascii="Times New Roman" w:hAnsi="Times New Roman"/>
                <w:sz w:val="24"/>
              </w:rPr>
            </w:pPr>
          </w:p>
          <w:p w14:paraId="10AFB17E" w14:textId="3C06F678" w:rsidR="00933ADA" w:rsidRPr="002A677E" w:rsidRDefault="00933ADA" w:rsidP="00822842">
            <w:pPr>
              <w:spacing w:before="0" w:after="0"/>
              <w:rPr>
                <w:rFonts w:ascii="Times New Roman" w:hAnsi="Times New Roman"/>
                <w:sz w:val="24"/>
              </w:rPr>
            </w:pPr>
            <w:r>
              <w:rPr>
                <w:rFonts w:ascii="Times New Roman" w:hAnsi="Times New Roman"/>
                <w:sz w:val="24"/>
              </w:rPr>
              <w:t>Pozycje sekurytyzacyjne według metody SEC-ERBA</w:t>
            </w:r>
            <w:r w:rsidR="00FC4B69">
              <w:rPr>
                <w:rFonts w:ascii="Times New Roman" w:hAnsi="Times New Roman"/>
                <w:sz w:val="24"/>
              </w:rPr>
              <w:t xml:space="preserve"> z rat</w:t>
            </w:r>
            <w:r>
              <w:rPr>
                <w:rFonts w:ascii="Times New Roman" w:hAnsi="Times New Roman"/>
                <w:sz w:val="24"/>
              </w:rPr>
              <w:t>ingiem implikowanym zgodnie</w:t>
            </w:r>
            <w:r w:rsidR="00FC4B69">
              <w:rPr>
                <w:rFonts w:ascii="Times New Roman" w:hAnsi="Times New Roman"/>
                <w:sz w:val="24"/>
              </w:rPr>
              <w:t xml:space="preserve"> z art</w:t>
            </w:r>
            <w:r>
              <w:rPr>
                <w:rFonts w:ascii="Times New Roman" w:hAnsi="Times New Roman"/>
                <w:sz w:val="24"/>
              </w:rPr>
              <w:t xml:space="preserve">. 254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zgłasza się jako pozycje</w:t>
            </w:r>
            <w:r w:rsidR="00FC4B69">
              <w:rPr>
                <w:rFonts w:ascii="Times New Roman" w:hAnsi="Times New Roman"/>
                <w:sz w:val="24"/>
              </w:rPr>
              <w:t xml:space="preserve"> z rat</w:t>
            </w:r>
            <w:r>
              <w:rPr>
                <w:rFonts w:ascii="Times New Roman" w:hAnsi="Times New Roman"/>
                <w:sz w:val="24"/>
              </w:rPr>
              <w:t>ingiem.</w:t>
            </w:r>
          </w:p>
          <w:p w14:paraId="3F38DA88" w14:textId="77777777" w:rsidR="00933ADA" w:rsidRPr="002A677E" w:rsidRDefault="00933ADA" w:rsidP="00822842">
            <w:pPr>
              <w:spacing w:before="0" w:after="0"/>
              <w:rPr>
                <w:rFonts w:ascii="Times New Roman" w:hAnsi="Times New Roman"/>
                <w:sz w:val="24"/>
              </w:rPr>
            </w:pPr>
          </w:p>
          <w:p w14:paraId="0324703F" w14:textId="173B4FA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Wartości ekspozycji podlegające wagom ryzyka dzieli się według krótko-</w:t>
            </w:r>
            <w:r w:rsidR="00FC4B69">
              <w:rPr>
                <w:rFonts w:ascii="Times New Roman" w:hAnsi="Times New Roman"/>
                <w:sz w:val="24"/>
              </w:rPr>
              <w:t xml:space="preserve"> i dłu</w:t>
            </w:r>
            <w:r>
              <w:rPr>
                <w:rFonts w:ascii="Times New Roman" w:hAnsi="Times New Roman"/>
                <w:sz w:val="24"/>
              </w:rPr>
              <w:t>goterminowych kredytów</w:t>
            </w:r>
            <w:r w:rsidR="00FC4B69">
              <w:rPr>
                <w:rFonts w:ascii="Times New Roman" w:hAnsi="Times New Roman"/>
                <w:sz w:val="24"/>
              </w:rPr>
              <w:t xml:space="preserve"> i sto</w:t>
            </w:r>
            <w:r>
              <w:rPr>
                <w:rFonts w:ascii="Times New Roman" w:hAnsi="Times New Roman"/>
                <w:sz w:val="24"/>
              </w:rPr>
              <w:t>pni jakości kredytowej jak określono</w:t>
            </w:r>
            <w:r w:rsidR="00FC4B69">
              <w:rPr>
                <w:rFonts w:ascii="Times New Roman" w:hAnsi="Times New Roman"/>
                <w:sz w:val="24"/>
              </w:rPr>
              <w:t xml:space="preserve"> w tab</w:t>
            </w:r>
            <w:r>
              <w:rPr>
                <w:rFonts w:ascii="Times New Roman" w:hAnsi="Times New Roman"/>
                <w:sz w:val="24"/>
              </w:rPr>
              <w:t>eli 1</w:t>
            </w:r>
            <w:r w:rsidR="00FC4B69">
              <w:rPr>
                <w:rFonts w:ascii="Times New Roman" w:hAnsi="Times New Roman"/>
                <w:sz w:val="24"/>
              </w:rPr>
              <w:t xml:space="preserve"> i 2</w:t>
            </w:r>
            <w:r>
              <w:rPr>
                <w:rFonts w:ascii="Times New Roman" w:hAnsi="Times New Roman"/>
                <w:sz w:val="24"/>
              </w:rPr>
              <w:t> w art. 263 oraz</w:t>
            </w:r>
            <w:r w:rsidR="00FC4B69">
              <w:rPr>
                <w:rFonts w:ascii="Times New Roman" w:hAnsi="Times New Roman"/>
                <w:sz w:val="24"/>
              </w:rPr>
              <w:t xml:space="preserve"> w tab</w:t>
            </w:r>
            <w:r>
              <w:rPr>
                <w:rFonts w:ascii="Times New Roman" w:hAnsi="Times New Roman"/>
                <w:sz w:val="24"/>
              </w:rPr>
              <w:t>elach 3</w:t>
            </w:r>
            <w:r w:rsidR="00FC4B69">
              <w:rPr>
                <w:rFonts w:ascii="Times New Roman" w:hAnsi="Times New Roman"/>
                <w:sz w:val="24"/>
              </w:rPr>
              <w:t xml:space="preserve"> i 4</w:t>
            </w:r>
            <w:r>
              <w:rPr>
                <w:rFonts w:ascii="Times New Roman" w:hAnsi="Times New Roman"/>
                <w:sz w:val="24"/>
              </w:rPr>
              <w:t xml:space="preserve"> w art. 264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PODZIAŁ WEDŁUG POWODÓW ZASTOSOWANIA METODY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46CF60CD" w:rsidR="00933ADA" w:rsidRPr="002A677E" w:rsidRDefault="00933ADA" w:rsidP="00822842">
            <w:pPr>
              <w:spacing w:before="0" w:after="0"/>
              <w:rPr>
                <w:rFonts w:ascii="Times New Roman" w:hAnsi="Times New Roman"/>
                <w:sz w:val="24"/>
              </w:rPr>
            </w:pPr>
            <w:r>
              <w:rPr>
                <w:rFonts w:ascii="Times New Roman" w:hAnsi="Times New Roman"/>
                <w:sz w:val="24"/>
              </w:rPr>
              <w:t>Dla każdej pozycji sekurytyzacyjnej instytucje uwzględniają</w:t>
            </w:r>
            <w:r w:rsidR="00FC4B69">
              <w:rPr>
                <w:rFonts w:ascii="Times New Roman" w:hAnsi="Times New Roman"/>
                <w:sz w:val="24"/>
              </w:rPr>
              <w:t xml:space="preserve"> w kol</w:t>
            </w:r>
            <w:r>
              <w:rPr>
                <w:rFonts w:ascii="Times New Roman" w:hAnsi="Times New Roman"/>
                <w:sz w:val="24"/>
              </w:rPr>
              <w:t>umnach 0580–0620 jedną</w:t>
            </w:r>
            <w:r w:rsidR="00FC4B69">
              <w:rPr>
                <w:rFonts w:ascii="Times New Roman" w:hAnsi="Times New Roman"/>
                <w:sz w:val="24"/>
              </w:rPr>
              <w:t xml:space="preserve"> z nas</w:t>
            </w:r>
            <w:r>
              <w:rPr>
                <w:rFonts w:ascii="Times New Roman" w:hAnsi="Times New Roman"/>
                <w:sz w:val="24"/>
              </w:rPr>
              <w:t>tępujących opcji.</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KREDYTY SAMOCHODOWE, LEASING SAMOCHODOWY I LEASING URZĄDZEŃ</w:t>
            </w:r>
          </w:p>
          <w:p w14:paraId="2ADAA315" w14:textId="77777777" w:rsidR="00933ADA" w:rsidRPr="00FC4B69" w:rsidRDefault="00933ADA" w:rsidP="00822842">
            <w:pPr>
              <w:spacing w:before="0" w:after="0"/>
              <w:rPr>
                <w:rFonts w:ascii="Times New Roman" w:hAnsi="Times New Roman"/>
                <w:b/>
                <w:sz w:val="24"/>
                <w:u w:val="single"/>
              </w:rPr>
            </w:pPr>
          </w:p>
          <w:p w14:paraId="20AF2550" w14:textId="03A1C266" w:rsidR="00933ADA" w:rsidRPr="002A677E" w:rsidRDefault="00933ADA" w:rsidP="00822842">
            <w:pPr>
              <w:spacing w:before="0" w:after="0"/>
              <w:rPr>
                <w:rFonts w:ascii="Times New Roman" w:hAnsi="Times New Roman"/>
                <w:sz w:val="24"/>
              </w:rPr>
            </w:pPr>
            <w:r w:rsidRPr="00FC4B69">
              <w:rPr>
                <w:rFonts w:ascii="Times New Roman" w:hAnsi="Times New Roman"/>
                <w:sz w:val="24"/>
              </w:rPr>
              <w:t>A</w:t>
            </w:r>
            <w:r>
              <w:rPr>
                <w:rFonts w:ascii="Times New Roman" w:hAnsi="Times New Roman"/>
                <w:sz w:val="24"/>
              </w:rPr>
              <w:t xml:space="preserve">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c)</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7A3728E1" w14:textId="77777777" w:rsidR="00933ADA" w:rsidRPr="002A677E" w:rsidRDefault="00933ADA" w:rsidP="00822842">
            <w:pPr>
              <w:spacing w:before="0" w:after="0"/>
              <w:rPr>
                <w:rFonts w:ascii="Times New Roman" w:hAnsi="Times New Roman"/>
                <w:sz w:val="24"/>
              </w:rPr>
            </w:pPr>
          </w:p>
          <w:p w14:paraId="31283022" w14:textId="35C417FC" w:rsidR="00933ADA" w:rsidRPr="002A677E" w:rsidRDefault="00933ADA" w:rsidP="00822842">
            <w:pPr>
              <w:spacing w:before="0" w:after="0"/>
              <w:rPr>
                <w:rFonts w:ascii="Times New Roman" w:hAnsi="Times New Roman"/>
                <w:b/>
                <w:sz w:val="24"/>
                <w:u w:val="single"/>
              </w:rPr>
            </w:pPr>
            <w:r>
              <w:rPr>
                <w:rFonts w:ascii="Times New Roman" w:hAnsi="Times New Roman"/>
                <w:sz w:val="24"/>
              </w:rPr>
              <w:t>Wszystkie kredyty na zakup samochodów oraz umowy leasingu samochodów</w:t>
            </w:r>
            <w:r w:rsidR="00FC4B69">
              <w:rPr>
                <w:rFonts w:ascii="Times New Roman" w:hAnsi="Times New Roman"/>
                <w:sz w:val="24"/>
              </w:rPr>
              <w:t xml:space="preserve"> i spr</w:t>
            </w:r>
            <w:r>
              <w:rPr>
                <w:rFonts w:ascii="Times New Roman" w:hAnsi="Times New Roman"/>
                <w:sz w:val="24"/>
              </w:rPr>
              <w:t>zętu zgłasza się</w:t>
            </w:r>
            <w:r w:rsidR="00FC4B69">
              <w:rPr>
                <w:rFonts w:ascii="Times New Roman" w:hAnsi="Times New Roman"/>
                <w:sz w:val="24"/>
              </w:rPr>
              <w:t xml:space="preserve"> w tej</w:t>
            </w:r>
            <w:r>
              <w:rPr>
                <w:rFonts w:ascii="Times New Roman" w:hAnsi="Times New Roman"/>
                <w:sz w:val="24"/>
              </w:rPr>
              <w:t xml:space="preserve"> kolumnie, nawet jeśli kwalifikują się do art. 254 ust. 2 lit. a) lub b)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WARIANT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53D0AC3A" w:rsidR="00933ADA" w:rsidRPr="00B44FD0" w:rsidRDefault="00933ADA" w:rsidP="00822842">
            <w:pPr>
              <w:spacing w:before="0" w:after="0"/>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POZYCJE PODLEGAJĄCE PRZEPISOM ART. 254 UST. 2 LIT. A) ROZPORZĄDZENIA (UE) NR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52567C2D" w:rsidR="00933ADA" w:rsidRPr="002A677E" w:rsidRDefault="00933ADA" w:rsidP="00822842">
            <w:pPr>
              <w:spacing w:before="0" w:after="0"/>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POZYCJE PODLEGAJĄCE PRZEPISOM ART. 254 UST. 2 LIT. B) ROZPORZĄDZENIA (UE) NR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16289E8B" w:rsidR="00933ADA" w:rsidRPr="002A677E" w:rsidRDefault="00933ADA" w:rsidP="00822842">
            <w:pPr>
              <w:spacing w:before="0" w:after="0"/>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POZYCJE PODLEGAJĄCE PRZEPISOM ART. 254 UST. 4 LUB ART. 258 UST. 2 ROZPORZĄDZENIA (UE) NR 575/2013</w:t>
            </w:r>
          </w:p>
          <w:p w14:paraId="38D391A0" w14:textId="77777777" w:rsidR="00933ADA" w:rsidRPr="002A677E" w:rsidRDefault="00933ADA" w:rsidP="00822842">
            <w:pPr>
              <w:spacing w:before="0" w:after="0"/>
              <w:rPr>
                <w:rFonts w:ascii="Times New Roman" w:hAnsi="Times New Roman"/>
                <w:sz w:val="24"/>
              </w:rPr>
            </w:pPr>
          </w:p>
          <w:p w14:paraId="27868B02" w14:textId="39B153FC" w:rsidR="00933ADA" w:rsidRPr="002A677E" w:rsidRDefault="00933ADA" w:rsidP="00822842">
            <w:pPr>
              <w:spacing w:before="0" w:after="0"/>
              <w:rPr>
                <w:rFonts w:ascii="Times New Roman" w:hAnsi="Times New Roman"/>
                <w:sz w:val="24"/>
              </w:rPr>
            </w:pPr>
            <w:r>
              <w:rPr>
                <w:rFonts w:ascii="Times New Roman" w:hAnsi="Times New Roman"/>
                <w:sz w:val="24"/>
              </w:rPr>
              <w:t>Pozycje sekurytyzacyjne traktowane według metody SEC-ERBA, jeżeli właściwe organy uniemożliwiły stosowanie metody SEC-IRBA lub SEC-SA zgodnie</w:t>
            </w:r>
            <w:r w:rsidR="00FC4B69">
              <w:rPr>
                <w:rFonts w:ascii="Times New Roman" w:hAnsi="Times New Roman"/>
                <w:sz w:val="24"/>
              </w:rPr>
              <w:t xml:space="preserve"> z art</w:t>
            </w:r>
            <w:r>
              <w:rPr>
                <w:rFonts w:ascii="Times New Roman" w:hAnsi="Times New Roman"/>
                <w:sz w:val="24"/>
              </w:rPr>
              <w:t>. 254 ust. 4</w:t>
            </w:r>
            <w:r w:rsidR="00FC4B69">
              <w:rPr>
                <w:rFonts w:ascii="Times New Roman" w:hAnsi="Times New Roman"/>
                <w:sz w:val="24"/>
              </w:rPr>
              <w:t xml:space="preserve"> i 2</w:t>
            </w:r>
            <w:r>
              <w:rPr>
                <w:rFonts w:ascii="Times New Roman" w:hAnsi="Times New Roman"/>
                <w:sz w:val="24"/>
              </w:rPr>
              <w:t xml:space="preserve">58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ZGODNIE Z HIERARCHIĄ METOD </w:t>
            </w:r>
          </w:p>
          <w:p w14:paraId="6E490CE5" w14:textId="77777777" w:rsidR="00933ADA" w:rsidRPr="002A677E" w:rsidRDefault="00933ADA" w:rsidP="00822842">
            <w:pPr>
              <w:spacing w:before="0" w:after="0"/>
              <w:rPr>
                <w:rFonts w:ascii="Times New Roman" w:hAnsi="Times New Roman"/>
                <w:b/>
                <w:sz w:val="24"/>
                <w:u w:val="single"/>
              </w:rPr>
            </w:pPr>
          </w:p>
          <w:p w14:paraId="03809F29" w14:textId="11BCC799" w:rsidR="00933ADA" w:rsidRPr="002A677E" w:rsidRDefault="00933ADA" w:rsidP="00822842">
            <w:pPr>
              <w:spacing w:before="0" w:after="0"/>
              <w:rPr>
                <w:rFonts w:ascii="Times New Roman" w:hAnsi="Times New Roman"/>
                <w:sz w:val="24"/>
              </w:rPr>
            </w:pPr>
            <w:r>
              <w:rPr>
                <w:rFonts w:ascii="Times New Roman" w:hAnsi="Times New Roman"/>
                <w:sz w:val="24"/>
              </w:rPr>
              <w:t>Pozycje sekurytyzacyjne,</w:t>
            </w:r>
            <w:r w:rsidR="00FC4B69">
              <w:rPr>
                <w:rFonts w:ascii="Times New Roman" w:hAnsi="Times New Roman"/>
                <w:sz w:val="24"/>
              </w:rPr>
              <w:t xml:space="preserve"> w prz</w:t>
            </w:r>
            <w:r>
              <w:rPr>
                <w:rFonts w:ascii="Times New Roman" w:hAnsi="Times New Roman"/>
                <w:sz w:val="24"/>
              </w:rPr>
              <w:t>ypadku których zastosowano metodę SEC-ERBA zgodnie</w:t>
            </w:r>
            <w:r w:rsidR="00FC4B69">
              <w:rPr>
                <w:rFonts w:ascii="Times New Roman" w:hAnsi="Times New Roman"/>
                <w:sz w:val="24"/>
              </w:rPr>
              <w:t xml:space="preserve"> z hie</w:t>
            </w:r>
            <w:r>
              <w:rPr>
                <w:rFonts w:ascii="Times New Roman" w:hAnsi="Times New Roman"/>
                <w:sz w:val="24"/>
              </w:rPr>
              <w:t>rarchią metod określoną</w:t>
            </w:r>
            <w:r w:rsidR="00FC4B69">
              <w:rPr>
                <w:rFonts w:ascii="Times New Roman" w:hAnsi="Times New Roman"/>
                <w:sz w:val="24"/>
              </w:rPr>
              <w:t xml:space="preserve"> w art</w:t>
            </w:r>
            <w:r>
              <w:rPr>
                <w:rFonts w:ascii="Times New Roman" w:hAnsi="Times New Roman"/>
                <w:sz w:val="24"/>
              </w:rPr>
              <w:t xml:space="preserve">. 254 ust. 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METODA WEWNĘTRZNYCH OSZACOWAŃ</w:t>
            </w:r>
          </w:p>
          <w:p w14:paraId="6533D6A7" w14:textId="77777777" w:rsidR="00933ADA" w:rsidRPr="002A677E" w:rsidRDefault="00933ADA" w:rsidP="00822842">
            <w:pPr>
              <w:spacing w:before="0" w:after="0"/>
              <w:jc w:val="left"/>
              <w:rPr>
                <w:rFonts w:ascii="Times New Roman" w:hAnsi="Times New Roman"/>
                <w:sz w:val="24"/>
              </w:rPr>
            </w:pPr>
          </w:p>
          <w:p w14:paraId="10BEACAC" w14:textId="6A04198F" w:rsidR="00933ADA" w:rsidRPr="002A677E" w:rsidRDefault="00933ADA" w:rsidP="00822842">
            <w:pPr>
              <w:spacing w:before="0" w:after="0"/>
              <w:rPr>
                <w:rFonts w:ascii="Times New Roman" w:hAnsi="Times New Roman"/>
                <w:sz w:val="24"/>
              </w:rPr>
            </w:pPr>
            <w:r>
              <w:rPr>
                <w:rFonts w:ascii="Times New Roman" w:hAnsi="Times New Roman"/>
                <w:sz w:val="24"/>
              </w:rPr>
              <w:t>Art. 254 ust. 5</w:t>
            </w:r>
            <w:bookmarkStart w:id="4" w:name="_Hlk73564575"/>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bookmarkEnd w:id="4"/>
            <w:r>
              <w:rPr>
                <w:rFonts w:ascii="Times New Roman" w:hAnsi="Times New Roman"/>
                <w:sz w:val="24"/>
              </w:rPr>
              <w:t>dotyczący „metody wewnętrznych oszacowań”</w:t>
            </w:r>
            <w:r w:rsidR="00FC4B69">
              <w:rPr>
                <w:rFonts w:ascii="Times New Roman" w:hAnsi="Times New Roman"/>
                <w:sz w:val="24"/>
              </w:rPr>
              <w:t xml:space="preserve"> w odn</w:t>
            </w:r>
            <w:r>
              <w:rPr>
                <w:rFonts w:ascii="Times New Roman" w:hAnsi="Times New Roman"/>
                <w:sz w:val="24"/>
              </w:rPr>
              <w:t>iesieniu do pozycji programów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PODZIAŁ WEDŁUG ZAKRESÓW WAG RYZYKA</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Ekspozycje według metody wewnętrznych oszacowań według przedziałów wag ryzyka</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571B4085"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269a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170E6FAC"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INNE (RW = 1 25</w:t>
            </w:r>
            <w:r w:rsidRPr="00FC4B69">
              <w:rPr>
                <w:rFonts w:ascii="Times New Roman" w:hAnsi="Times New Roman"/>
                <w:b/>
                <w:sz w:val="24"/>
                <w:u w:val="single"/>
              </w:rPr>
              <w:t>0</w:t>
            </w:r>
            <w:r w:rsidR="00FC4B69" w:rsidRPr="00FC4B69">
              <w:t> </w:t>
            </w:r>
            <w:r w:rsidRPr="00FC4B69">
              <w:rPr>
                <w:rFonts w:ascii="Times New Roman" w:hAnsi="Times New Roman"/>
                <w:b/>
                <w:sz w:val="24"/>
                <w:u w:val="single"/>
              </w:rPr>
              <w:t>%</w:t>
            </w:r>
            <w:r>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4AEE75BE" w:rsidR="00933ADA" w:rsidRPr="002A677E" w:rsidRDefault="00933ADA" w:rsidP="00822842">
            <w:pPr>
              <w:spacing w:before="0" w:after="0"/>
              <w:jc w:val="left"/>
              <w:rPr>
                <w:rFonts w:ascii="Times New Roman" w:hAnsi="Times New Roman"/>
                <w:sz w:val="24"/>
              </w:rPr>
            </w:pPr>
            <w:r>
              <w:rPr>
                <w:rFonts w:ascii="Times New Roman" w:hAnsi="Times New Roman"/>
                <w:sz w:val="24"/>
              </w:rPr>
              <w:t>Jeżeli nie zastosowano żadnej</w:t>
            </w:r>
            <w:r w:rsidR="00FC4B69">
              <w:rPr>
                <w:rFonts w:ascii="Times New Roman" w:hAnsi="Times New Roman"/>
                <w:sz w:val="24"/>
              </w:rPr>
              <w:t xml:space="preserve"> z pop</w:t>
            </w:r>
            <w:r>
              <w:rPr>
                <w:rFonts w:ascii="Times New Roman" w:hAnsi="Times New Roman"/>
                <w:sz w:val="24"/>
              </w:rPr>
              <w:t>rzednich metod, wagę ryzyka równą 1 250 % przypisuje się pozycjom sekurytyzacyjnym zgodnie</w:t>
            </w:r>
            <w:r w:rsidR="00FC4B69">
              <w:rPr>
                <w:rFonts w:ascii="Times New Roman" w:hAnsi="Times New Roman"/>
                <w:sz w:val="24"/>
              </w:rPr>
              <w:t xml:space="preserve"> z art</w:t>
            </w:r>
            <w:r>
              <w:rPr>
                <w:rFonts w:ascii="Times New Roman" w:hAnsi="Times New Roman"/>
                <w:sz w:val="24"/>
              </w:rPr>
              <w:t xml:space="preserve">. 254 ust. 7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KWOTA EKSPOZYCJI WAŻONEJ RYZYKIEM</w:t>
            </w:r>
          </w:p>
          <w:p w14:paraId="281A1F00" w14:textId="77777777" w:rsidR="00933ADA" w:rsidRPr="002A677E" w:rsidRDefault="00933ADA" w:rsidP="00822842">
            <w:pPr>
              <w:spacing w:before="0" w:after="0"/>
              <w:jc w:val="left"/>
              <w:rPr>
                <w:rFonts w:ascii="Times New Roman" w:hAnsi="Times New Roman"/>
                <w:sz w:val="24"/>
              </w:rPr>
            </w:pPr>
          </w:p>
          <w:p w14:paraId="0D23F92D" w14:textId="06D394E4" w:rsidR="00933ADA" w:rsidRPr="002A677E" w:rsidRDefault="00933ADA" w:rsidP="00822842">
            <w:pPr>
              <w:spacing w:before="0" w:after="0"/>
              <w:rPr>
                <w:rFonts w:ascii="Times New Roman" w:hAnsi="Times New Roman"/>
                <w:sz w:val="24"/>
              </w:rPr>
            </w:pPr>
            <w:r>
              <w:rPr>
                <w:rFonts w:ascii="Times New Roman" w:hAnsi="Times New Roman"/>
                <w:sz w:val="24"/>
              </w:rPr>
              <w:t>Całkowita kwota ekspozycji ważonej ryzykiem obliczona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przed korektami wynikającymi</w:t>
            </w:r>
            <w:r w:rsidR="00FC4B69">
              <w:rPr>
                <w:rFonts w:ascii="Times New Roman" w:hAnsi="Times New Roman"/>
                <w:sz w:val="24"/>
              </w:rPr>
              <w:t xml:space="preserve"> z nie</w:t>
            </w:r>
            <w:r>
              <w:rPr>
                <w:rFonts w:ascii="Times New Roman" w:hAnsi="Times New Roman"/>
                <w:sz w:val="24"/>
              </w:rPr>
              <w:t xml:space="preserve">dopasowania terminów zapadalności lub </w:t>
            </w:r>
            <w:r>
              <w:rPr>
                <w:rFonts w:ascii="Times New Roman" w:hAnsi="Times New Roman"/>
                <w:sz w:val="24"/>
              </w:rPr>
              <w:lastRenderedPageBreak/>
              <w:t>naruszenia przepisów dotyczących należytej staranności oraz</w:t>
            </w:r>
            <w:r w:rsidR="00FC4B69">
              <w:rPr>
                <w:rFonts w:ascii="Times New Roman" w:hAnsi="Times New Roman"/>
                <w:sz w:val="24"/>
              </w:rPr>
              <w:t xml:space="preserve"> z wył</w:t>
            </w:r>
            <w:r>
              <w:rPr>
                <w:rFonts w:ascii="Times New Roman" w:hAnsi="Times New Roman"/>
                <w:sz w:val="24"/>
              </w:rPr>
              <w:t xml:space="preserve">ączeniem jakiekolwiek kwoty ekspozycji ważonej ryzykiem odpowiadającej ekspozycjom przeniesionym do innego wzoru wskutek wypływów.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METODA WEWNĘTRZNYCH OSZACOWAŃ: ŚREDNIA WAGA RYZYKA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W tej kolumnie zgłasza się średnie ważone ekspozycją wagi ryzyka pozycji sekurytyzacyjnych.</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KWOTA EKSPOZYCJI WAŻONEJ RYZYKIEM – W TYM: SEKURYTYZACJE SYNTETYCZNE</w:t>
            </w:r>
          </w:p>
          <w:p w14:paraId="5D931025" w14:textId="77777777" w:rsidR="00933ADA" w:rsidRPr="002A677E" w:rsidRDefault="00933ADA" w:rsidP="00822842">
            <w:pPr>
              <w:spacing w:before="0" w:after="0"/>
              <w:jc w:val="left"/>
              <w:rPr>
                <w:rFonts w:ascii="Times New Roman" w:hAnsi="Times New Roman"/>
                <w:sz w:val="24"/>
              </w:rPr>
            </w:pPr>
          </w:p>
          <w:p w14:paraId="6DDF48C2" w14:textId="3BD0FF54" w:rsidR="00933ADA" w:rsidRPr="002A677E" w:rsidRDefault="00933ADA" w:rsidP="00822842">
            <w:pPr>
              <w:spacing w:before="0" w:after="0"/>
              <w:rPr>
                <w:rFonts w:ascii="Times New Roman" w:hAnsi="Times New Roman"/>
                <w:sz w:val="24"/>
              </w:rPr>
            </w:pPr>
            <w:r>
              <w:rPr>
                <w:rFonts w:ascii="Times New Roman" w:hAnsi="Times New Roman"/>
                <w:sz w:val="24"/>
              </w:rPr>
              <w:t>W odniesieniu do sekurytyzacji syntetycznych związanych</w:t>
            </w:r>
            <w:r w:rsidR="00FC4B69">
              <w:rPr>
                <w:rFonts w:ascii="Times New Roman" w:hAnsi="Times New Roman"/>
                <w:sz w:val="24"/>
              </w:rPr>
              <w:t xml:space="preserve"> z nie</w:t>
            </w:r>
            <w:r>
              <w:rPr>
                <w:rFonts w:ascii="Times New Roman" w:hAnsi="Times New Roman"/>
                <w:sz w:val="24"/>
              </w:rPr>
              <w:t>dopasowaniem terminów zapadalności przy zgłaszaniu kwoty</w:t>
            </w:r>
            <w:r w:rsidR="00FC4B69">
              <w:rPr>
                <w:rFonts w:ascii="Times New Roman" w:hAnsi="Times New Roman"/>
                <w:sz w:val="24"/>
              </w:rPr>
              <w:t xml:space="preserve"> w tej</w:t>
            </w:r>
            <w:r>
              <w:rPr>
                <w:rFonts w:ascii="Times New Roman" w:hAnsi="Times New Roman"/>
                <w:sz w:val="24"/>
              </w:rPr>
              <w:t xml:space="preserve"> kolumnie ignoruje się niedopasowanie terminów zapadalności.</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KOREKTA KWOTY EKSPOZYCJI WAŻONEJ RYZYKIEM WYNIKAJĄCA Z NIEDOPASOWANIA TERMINÓW ZAPADALNOŚCI</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234408F" w:rsidR="00933ADA" w:rsidRPr="002A677E" w:rsidRDefault="00933ADA" w:rsidP="00822842">
            <w:pPr>
              <w:spacing w:before="0" w:after="0"/>
              <w:rPr>
                <w:rFonts w:ascii="Times New Roman" w:hAnsi="Times New Roman"/>
                <w:sz w:val="24"/>
              </w:rPr>
            </w:pPr>
            <w:r>
              <w:rPr>
                <w:rFonts w:ascii="Times New Roman" w:hAnsi="Times New Roman"/>
                <w:sz w:val="24"/>
              </w:rPr>
              <w:t>Uwzględnia się niedopasowanie terminów zapadalności</w:t>
            </w:r>
            <w:r w:rsidR="00FC4B69">
              <w:rPr>
                <w:rFonts w:ascii="Times New Roman" w:hAnsi="Times New Roman"/>
                <w:sz w:val="24"/>
              </w:rPr>
              <w:t xml:space="preserve"> w odn</w:t>
            </w:r>
            <w:r>
              <w:rPr>
                <w:rFonts w:ascii="Times New Roman" w:hAnsi="Times New Roman"/>
                <w:sz w:val="24"/>
              </w:rPr>
              <w:t>iesieniu do sekurytyzacji syntetycznych RW*-RW(SP), obliczone zgodnie</w:t>
            </w:r>
            <w:r w:rsidR="00FC4B69">
              <w:rPr>
                <w:rFonts w:ascii="Times New Roman" w:hAnsi="Times New Roman"/>
                <w:sz w:val="24"/>
              </w:rPr>
              <w:t xml:space="preserve"> z art</w:t>
            </w:r>
            <w:r>
              <w:rPr>
                <w:rFonts w:ascii="Times New Roman" w:hAnsi="Times New Roman"/>
                <w:sz w:val="24"/>
              </w:rPr>
              <w:t xml:space="preserve">. 252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z wyj</w:t>
            </w:r>
            <w:r>
              <w:rPr>
                <w:rFonts w:ascii="Times New Roman" w:hAnsi="Times New Roman"/>
                <w:sz w:val="24"/>
              </w:rPr>
              <w:t>ątkiem przypadków transz podlegających ważeniu ryzykiem</w:t>
            </w:r>
            <w:r w:rsidR="00FC4B69">
              <w:rPr>
                <w:rFonts w:ascii="Times New Roman" w:hAnsi="Times New Roman"/>
                <w:sz w:val="24"/>
              </w:rPr>
              <w:t xml:space="preserve"> o wad</w:t>
            </w:r>
            <w:r>
              <w:rPr>
                <w:rFonts w:ascii="Times New Roman" w:hAnsi="Times New Roman"/>
                <w:sz w:val="24"/>
              </w:rPr>
              <w:t>ze</w:t>
            </w:r>
            <w:r>
              <w:t xml:space="preserve"> </w:t>
            </w:r>
            <w:r>
              <w:rPr>
                <w:rFonts w:ascii="Times New Roman" w:hAnsi="Times New Roman"/>
                <w:sz w:val="24"/>
              </w:rPr>
              <w:t>1 250 %,</w:t>
            </w:r>
            <w:r w:rsidR="00FC4B69">
              <w:rPr>
                <w:rFonts w:ascii="Times New Roman" w:hAnsi="Times New Roman"/>
                <w:sz w:val="24"/>
              </w:rPr>
              <w:t xml:space="preserve"> w któ</w:t>
            </w:r>
            <w:r>
              <w:rPr>
                <w:rFonts w:ascii="Times New Roman" w:hAnsi="Times New Roman"/>
                <w:sz w:val="24"/>
              </w:rPr>
              <w:t>rych kwota, którą należy zgłosić, wynosi zero. RW(SP) obejmuje nie tylko kwoty ekspozycji ważone ryzykiem zgłoszone</w:t>
            </w:r>
            <w:r w:rsidR="00FC4B69">
              <w:rPr>
                <w:rFonts w:ascii="Times New Roman" w:hAnsi="Times New Roman"/>
                <w:sz w:val="24"/>
              </w:rPr>
              <w:t xml:space="preserve"> w kol</w:t>
            </w:r>
            <w:r>
              <w:rPr>
                <w:rFonts w:ascii="Times New Roman" w:hAnsi="Times New Roman"/>
                <w:sz w:val="24"/>
              </w:rPr>
              <w:t>umnie 0650, ale też kwoty ekspozycji ważone ryzykiem odnoszące się do ekspozycji przeniesionych poprzez wypływy do innych wzorów.</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OGÓLNY SKUTEK (KOREKTA) WYNIKAJĄCY Z NARUSZENIA PRZEPISÓW ROZDZIAŁU 2 ROZPORZĄDZENIA (UE)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57AB3AAA"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270a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prz</w:t>
            </w:r>
            <w:r>
              <w:rPr>
                <w:rFonts w:ascii="Times New Roman" w:hAnsi="Times New Roman"/>
                <w:sz w:val="24"/>
              </w:rPr>
              <w:t>ypadku niespełnienia określonych wymogów przez instytucję właściwe organy nakładają proporcjonalną dodatkową wagę ryzyka</w:t>
            </w:r>
            <w:r w:rsidR="00FC4B69">
              <w:rPr>
                <w:rFonts w:ascii="Times New Roman" w:hAnsi="Times New Roman"/>
                <w:sz w:val="24"/>
              </w:rPr>
              <w:t xml:space="preserve"> w wys</w:t>
            </w:r>
            <w:r>
              <w:rPr>
                <w:rFonts w:ascii="Times New Roman" w:hAnsi="Times New Roman"/>
                <w:sz w:val="24"/>
              </w:rPr>
              <w:t>okości co najmniej</w:t>
            </w:r>
            <w:r>
              <w:t xml:space="preserve"> </w:t>
            </w:r>
            <w:r>
              <w:rPr>
                <w:rFonts w:ascii="Times New Roman" w:hAnsi="Times New Roman"/>
                <w:sz w:val="24"/>
              </w:rPr>
              <w:t xml:space="preserve">250 % wagi ryzyka (maksymalnie do wysokości 1 250 %), którą zastosuje się do stosownych pozycji sekurytyzacyjnych na mocy części trzeciej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w:t>
            </w:r>
          </w:p>
          <w:p w14:paraId="00106670" w14:textId="77777777" w:rsidR="00933ADA" w:rsidRDefault="00933ADA" w:rsidP="00822842">
            <w:pPr>
              <w:spacing w:before="0" w:after="0"/>
              <w:jc w:val="left"/>
              <w:rPr>
                <w:rFonts w:ascii="Times New Roman" w:hAnsi="Times New Roman"/>
                <w:sz w:val="24"/>
              </w:rPr>
            </w:pPr>
          </w:p>
          <w:p w14:paraId="10368B4A" w14:textId="05DD828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Całkowita kwota ekspozycji ważonej ryzykiem obliczona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PRZED UWZGLĘDNIENIEM PUŁAPU</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611558DC"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Całkowita kwota ekspozycji ważonej ryzykiem obliczona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przed uwzględnieniem pułapów określonych</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67</w:t>
            </w:r>
            <w:r w:rsidR="00FC4B69">
              <w:rPr>
                <w:rFonts w:ascii="Times New Roman" w:hAnsi="Times New Roman"/>
                <w:sz w:val="24"/>
              </w:rPr>
              <w:t xml:space="preserve"> i 2</w:t>
            </w:r>
            <w:r>
              <w:rPr>
                <w:rFonts w:ascii="Times New Roman" w:hAnsi="Times New Roman"/>
                <w:sz w:val="24"/>
              </w:rPr>
              <w:t>68 tego rozporządzenia lub</w:t>
            </w:r>
            <w:r w:rsidR="00FC4B69">
              <w:rPr>
                <w:rFonts w:ascii="Times New Roman" w:hAnsi="Times New Roman"/>
                <w:sz w:val="24"/>
              </w:rPr>
              <w:t xml:space="preserve"> w prz</w:t>
            </w:r>
            <w:r>
              <w:rPr>
                <w:rFonts w:ascii="Times New Roman" w:hAnsi="Times New Roman"/>
                <w:sz w:val="24"/>
              </w:rPr>
              <w:t xml:space="preserve">ypadku kwalifikujących się tradycyjnych sekurytyzacji ekspozycji nieobsługiwanych przed zastosowaniem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60D02F6B" w:rsidR="00933ADA" w:rsidRPr="002A677E" w:rsidRDefault="00933ADA" w:rsidP="00822842">
            <w:pPr>
              <w:spacing w:before="0" w:after="0"/>
              <w:jc w:val="left"/>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267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instytucja, która zawsze zna skład ekspozycji bazowych, może przypisać uprzywilejowanej pozycji sekurytyzacyjnej maksymalną wagę ryzyka równą średniej wadze ryzyka ważonej ekspozycją, która miałaby zastosowanie do ekspozycji bazowych, tak jakby nie zostały one objęte sekurytyzacją</w:t>
            </w:r>
            <w:r w:rsidR="00FC4B69">
              <w:rPr>
                <w:rFonts w:ascii="Times New Roman" w:hAnsi="Times New Roman"/>
                <w:sz w:val="24"/>
              </w:rPr>
              <w:t>. W prz</w:t>
            </w:r>
            <w:r>
              <w:rPr>
                <w:rFonts w:ascii="Times New Roman" w:hAnsi="Times New Roman"/>
                <w:sz w:val="24"/>
              </w:rPr>
              <w:t xml:space="preserve">ypadku kwalifikujących się tradycyjnych sekurytyzacji ekspozycji nieobsługiwanych stosuje się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szc</w:t>
            </w:r>
            <w:r>
              <w:rPr>
                <w:rFonts w:ascii="Times New Roman" w:hAnsi="Times New Roman"/>
                <w:sz w:val="24"/>
              </w:rPr>
              <w:t xml:space="preserve">zególności jego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6</w:t>
            </w:r>
            <w:r w:rsidR="00FC4B69">
              <w:rPr>
                <w:rFonts w:ascii="Times New Roman" w:hAnsi="Times New Roman"/>
                <w:sz w:val="24"/>
              </w:rPr>
              <w:t xml:space="preserve"> i 7</w:t>
            </w:r>
            <w:r>
              <w:rPr>
                <w:rFonts w:ascii="Times New Roman" w:hAnsi="Times New Roman"/>
                <w:sz w:val="24"/>
              </w:rPr>
              <w:t>.</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3B11A739" w:rsidR="00933ADA" w:rsidRPr="002A677E" w:rsidRDefault="00933ADA" w:rsidP="00822842">
            <w:pPr>
              <w:spacing w:before="0" w:after="0"/>
              <w:jc w:val="left"/>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268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instytucja inicjująca, instytucja sponsorująca lub inna instytucja stosujące metodę SEC-IRBA, bądź instytucja inicjująca lub instytucja sponsorująca stosujące metodę SEC-SA lub SEC-ERBA mogą stosować</w:t>
            </w:r>
            <w:r w:rsidR="00FC4B69">
              <w:rPr>
                <w:rFonts w:ascii="Times New Roman" w:hAnsi="Times New Roman"/>
                <w:sz w:val="24"/>
              </w:rPr>
              <w:t xml:space="preserve"> w odn</w:t>
            </w:r>
            <w:r>
              <w:rPr>
                <w:rFonts w:ascii="Times New Roman" w:hAnsi="Times New Roman"/>
                <w:sz w:val="24"/>
              </w:rPr>
              <w:t>iesieniu do posiadanej przez siebie pozycji sekurytyzacyjnej maksymalne wymogi kapitałowe równe wymogom kapitałowym, które zostałyby obliczone zgodnie</w:t>
            </w:r>
            <w:r w:rsidR="00FC4B69">
              <w:rPr>
                <w:rFonts w:ascii="Times New Roman" w:hAnsi="Times New Roman"/>
                <w:sz w:val="24"/>
              </w:rPr>
              <w:t xml:space="preserve"> z czę</w:t>
            </w:r>
            <w:r>
              <w:rPr>
                <w:rFonts w:ascii="Times New Roman" w:hAnsi="Times New Roman"/>
                <w:sz w:val="24"/>
              </w:rPr>
              <w:t xml:space="preserve">ścią trzecią tytuł II rozdział 2 </w:t>
            </w:r>
            <w:r w:rsidRPr="00FC4B69">
              <w:rPr>
                <w:rFonts w:ascii="Times New Roman" w:hAnsi="Times New Roman"/>
                <w:sz w:val="24"/>
              </w:rPr>
              <w:t>lub</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odn</w:t>
            </w:r>
            <w:r>
              <w:rPr>
                <w:rFonts w:ascii="Times New Roman" w:hAnsi="Times New Roman"/>
                <w:sz w:val="24"/>
              </w:rPr>
              <w:t>iesieniu do ekspozycji bazowych, tak jakby nie zostały one objęte sekurytyzacją</w:t>
            </w:r>
            <w:r w:rsidR="00FC4B69">
              <w:rPr>
                <w:rFonts w:ascii="Times New Roman" w:hAnsi="Times New Roman"/>
                <w:sz w:val="24"/>
              </w:rPr>
              <w:t>. W prz</w:t>
            </w:r>
            <w:r>
              <w:rPr>
                <w:rFonts w:ascii="Times New Roman" w:hAnsi="Times New Roman"/>
                <w:sz w:val="24"/>
              </w:rPr>
              <w:t xml:space="preserve">ypadku kwalifikujących się tradycyjnych sekurytyzacji ekspozycji nieobsługiwanych stosuje się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szc</w:t>
            </w:r>
            <w:r>
              <w:rPr>
                <w:rFonts w:ascii="Times New Roman" w:hAnsi="Times New Roman"/>
                <w:sz w:val="24"/>
              </w:rPr>
              <w:t xml:space="preserve">zególności jego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5</w:t>
            </w:r>
            <w:r w:rsidR="00FC4B69">
              <w:rPr>
                <w:rFonts w:ascii="Times New Roman" w:hAnsi="Times New Roman"/>
                <w:sz w:val="24"/>
              </w:rPr>
              <w:t xml:space="preserve"> i 7</w:t>
            </w:r>
            <w:r>
              <w:rPr>
                <w:rFonts w:ascii="Times New Roman" w:hAnsi="Times New Roman"/>
                <w:sz w:val="24"/>
              </w:rPr>
              <w:t>.</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2C64F41D"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Całkowita kwota ekspozycji ważonej ryzykiem obliczona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z uwz</w:t>
            </w:r>
            <w:r>
              <w:rPr>
                <w:rFonts w:ascii="Times New Roman" w:hAnsi="Times New Roman"/>
                <w:sz w:val="24"/>
              </w:rPr>
              <w:t>ględnieniem całkowitej kwoty ekspozycji ważonej ryzykiem, jak określono</w:t>
            </w:r>
            <w:r w:rsidR="00FC4B69">
              <w:rPr>
                <w:rFonts w:ascii="Times New Roman" w:hAnsi="Times New Roman"/>
                <w:sz w:val="24"/>
              </w:rPr>
              <w:t xml:space="preserve"> w art</w:t>
            </w:r>
            <w:r>
              <w:rPr>
                <w:rFonts w:ascii="Times New Roman" w:hAnsi="Times New Roman"/>
                <w:sz w:val="24"/>
              </w:rPr>
              <w:t>. 247 ust. 6 tego rozporządzenia.</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Z ZASTOSOWANIEM MINIMALNEGO PROGU KAPITAŁOWEGO</w:t>
            </w:r>
          </w:p>
          <w:p w14:paraId="154FBB11" w14:textId="77777777" w:rsidR="00933ADA" w:rsidRDefault="00933ADA" w:rsidP="00822842">
            <w:pPr>
              <w:spacing w:before="0" w:after="0"/>
              <w:jc w:val="left"/>
              <w:rPr>
                <w:rFonts w:ascii="Times New Roman" w:hAnsi="Times New Roman"/>
                <w:sz w:val="24"/>
              </w:rPr>
            </w:pPr>
          </w:p>
          <w:p w14:paraId="2EC82F7A" w14:textId="3636701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W przypadku instytucji objętych wymogiem minimalnego progu kapitałowego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9</w:t>
            </w:r>
            <w:r>
              <w:rPr>
                <w:rFonts w:ascii="Times New Roman" w:hAnsi="Times New Roman"/>
                <w:sz w:val="24"/>
              </w:rPr>
              <w:t xml:space="preserve">2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 </w:t>
            </w:r>
            <w:r>
              <w:rPr>
                <w:rFonts w:ascii="Times New Roman" w:hAnsi="Times New Roman"/>
                <w:sz w:val="24"/>
              </w:rPr>
              <w:lastRenderedPageBreak/>
              <w:t>łączna kwota ekspozycji na ryzyko według metody standardowej (S-TREA) obliczona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9</w:t>
            </w:r>
            <w:r>
              <w:rPr>
                <w:rFonts w:ascii="Times New Roman" w:hAnsi="Times New Roman"/>
                <w:sz w:val="24"/>
              </w:rPr>
              <w:t xml:space="preserve">2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PRZED UWZGLĘDNIENIEM PUŁAPU</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1460701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przed uwzględnieniem pułapów określonych</w:t>
            </w:r>
            <w:r w:rsidR="00FC4B69">
              <w:rPr>
                <w:rFonts w:ascii="Times New Roman" w:hAnsi="Times New Roman"/>
                <w:sz w:val="24"/>
              </w:rPr>
              <w:t xml:space="preserve"> w art</w:t>
            </w:r>
            <w:r>
              <w:rPr>
                <w:rFonts w:ascii="Times New Roman" w:hAnsi="Times New Roman"/>
                <w:sz w:val="24"/>
              </w:rPr>
              <w:t>. 267</w:t>
            </w:r>
            <w:r w:rsidR="00FC4B69">
              <w:rPr>
                <w:rFonts w:ascii="Times New Roman" w:hAnsi="Times New Roman"/>
                <w:sz w:val="24"/>
              </w:rPr>
              <w:t xml:space="preserve"> i 2</w:t>
            </w:r>
            <w:r>
              <w:rPr>
                <w:rFonts w:ascii="Times New Roman" w:hAnsi="Times New Roman"/>
                <w:sz w:val="24"/>
              </w:rPr>
              <w:t>68 tego rozporządzenia lub</w:t>
            </w:r>
            <w:r w:rsidR="00FC4B69">
              <w:rPr>
                <w:rFonts w:ascii="Times New Roman" w:hAnsi="Times New Roman"/>
                <w:sz w:val="24"/>
              </w:rPr>
              <w:t xml:space="preserve"> w prz</w:t>
            </w:r>
            <w:r>
              <w:rPr>
                <w:rFonts w:ascii="Times New Roman" w:hAnsi="Times New Roman"/>
                <w:sz w:val="24"/>
              </w:rPr>
              <w:t>ypadku kwalifikujących się tradycyjnych sekurytyzacji ekspozycji nieobsługiwanych przed zastosowaniem art. 269a rozporządzenia (UE) nr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5B049CC5" w14:textId="77777777" w:rsidR="00933ADA" w:rsidRDefault="00933ADA" w:rsidP="00822842">
            <w:pPr>
              <w:spacing w:before="0" w:after="0"/>
              <w:jc w:val="left"/>
              <w:rPr>
                <w:rFonts w:ascii="Times New Roman" w:hAnsi="Times New Roman"/>
                <w:bCs/>
                <w:sz w:val="24"/>
              </w:rPr>
            </w:pPr>
          </w:p>
          <w:p w14:paraId="5AFF07E2" w14:textId="4EE0CB6E"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Zmniejszenie S-TREA ze względu na pułap wagi ryzyka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67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szc</w:t>
            </w:r>
            <w:r>
              <w:rPr>
                <w:rFonts w:ascii="Times New Roman" w:hAnsi="Times New Roman"/>
                <w:sz w:val="24"/>
              </w:rPr>
              <w:t xml:space="preserve">zególności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sidR="00FC4B69">
              <w:rPr>
                <w:rFonts w:ascii="Times New Roman" w:hAnsi="Times New Roman"/>
                <w:sz w:val="24"/>
              </w:rPr>
              <w:t xml:space="preserve"> i 7</w:t>
            </w:r>
            <w:r>
              <w:rPr>
                <w:rFonts w:ascii="Times New Roman" w:hAnsi="Times New Roman"/>
                <w:sz w:val="24"/>
              </w:rPr>
              <w:t>.</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319BEC43" w14:textId="77777777" w:rsidR="00933ADA" w:rsidRDefault="00933ADA" w:rsidP="00822842">
            <w:pPr>
              <w:spacing w:before="0" w:after="0"/>
              <w:jc w:val="left"/>
              <w:rPr>
                <w:rFonts w:ascii="Times New Roman" w:hAnsi="Times New Roman"/>
                <w:bCs/>
                <w:sz w:val="24"/>
              </w:rPr>
            </w:pPr>
          </w:p>
          <w:p w14:paraId="7C385E24" w14:textId="760B1D69"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Zmniejszenie S-TREA ze względu na ogólny pułap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szc</w:t>
            </w:r>
            <w:r>
              <w:rPr>
                <w:rFonts w:ascii="Times New Roman" w:hAnsi="Times New Roman"/>
                <w:sz w:val="24"/>
              </w:rPr>
              <w:t xml:space="preserve">zególności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5</w:t>
            </w:r>
            <w:r w:rsidR="00FC4B69">
              <w:rPr>
                <w:rFonts w:ascii="Times New Roman" w:hAnsi="Times New Roman"/>
                <w:sz w:val="24"/>
              </w:rPr>
              <w:t xml:space="preserve"> i 7</w:t>
            </w:r>
            <w:r>
              <w:rPr>
                <w:rFonts w:ascii="Times New Roman" w:hAnsi="Times New Roman"/>
                <w:sz w:val="24"/>
              </w:rPr>
              <w:t>.</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 UWZGLĘDNIENIU PUŁAPU</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Kwota S-TREA po uwzględnieniu ogólnego pułapu.</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POZYCJE UZUPEŁNIAJĄCE</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KWOTA EKSPOZYCJI WAŻONEJ RYZYKIEM ODPOWIADAJĄCA WYPŁYWOM Z SEKURYTYZACJI DO INNYCH KATEGORII EKSPOZYCJI</w:t>
            </w:r>
          </w:p>
          <w:p w14:paraId="5D7D7E17" w14:textId="77777777" w:rsidR="00933ADA" w:rsidRPr="002A677E" w:rsidRDefault="00933ADA" w:rsidP="00822842">
            <w:pPr>
              <w:spacing w:before="0" w:after="0"/>
              <w:jc w:val="left"/>
              <w:rPr>
                <w:rFonts w:ascii="Times New Roman" w:hAnsi="Times New Roman"/>
                <w:sz w:val="24"/>
              </w:rPr>
            </w:pPr>
          </w:p>
          <w:p w14:paraId="325B127F" w14:textId="5A4F6E8B" w:rsidR="00933ADA" w:rsidRPr="002A677E" w:rsidRDefault="00933ADA" w:rsidP="00822842">
            <w:pPr>
              <w:spacing w:before="0" w:after="0"/>
              <w:rPr>
                <w:rFonts w:ascii="Times New Roman" w:hAnsi="Times New Roman"/>
                <w:sz w:val="24"/>
              </w:rPr>
            </w:pPr>
            <w:r>
              <w:rPr>
                <w:rFonts w:ascii="Times New Roman" w:hAnsi="Times New Roman"/>
                <w:sz w:val="24"/>
              </w:rPr>
              <w:t>Kwota ekspozycji ważona ryzykiem wynikająca</w:t>
            </w:r>
            <w:r w:rsidR="00FC4B69">
              <w:rPr>
                <w:rFonts w:ascii="Times New Roman" w:hAnsi="Times New Roman"/>
                <w:sz w:val="24"/>
              </w:rPr>
              <w:t xml:space="preserve"> z prz</w:t>
            </w:r>
            <w:r>
              <w:rPr>
                <w:rFonts w:ascii="Times New Roman" w:hAnsi="Times New Roman"/>
                <w:sz w:val="24"/>
              </w:rPr>
              <w:t>eniesienia ekspozycji na dostawcę środków ograniczania ryzyka,</w:t>
            </w:r>
            <w:r w:rsidR="00FC4B69">
              <w:rPr>
                <w:rFonts w:ascii="Times New Roman" w:hAnsi="Times New Roman"/>
                <w:sz w:val="24"/>
              </w:rPr>
              <w:t xml:space="preserve"> a tym</w:t>
            </w:r>
            <w:r>
              <w:rPr>
                <w:rFonts w:ascii="Times New Roman" w:hAnsi="Times New Roman"/>
                <w:sz w:val="24"/>
              </w:rPr>
              <w:t xml:space="preserve"> samym obliczana</w:t>
            </w:r>
            <w:r w:rsidR="00FC4B69">
              <w:rPr>
                <w:rFonts w:ascii="Times New Roman" w:hAnsi="Times New Roman"/>
                <w:sz w:val="24"/>
              </w:rPr>
              <w:t xml:space="preserve"> w odp</w:t>
            </w:r>
            <w:r>
              <w:rPr>
                <w:rFonts w:ascii="Times New Roman" w:hAnsi="Times New Roman"/>
                <w:sz w:val="24"/>
              </w:rPr>
              <w:t>owiednim wzorze, która uwzględniana jest przy obliczaniu pułapu dla pozycji sekurytyzacyjnych.</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MINIMALNY PRÓG KAPITAŁOWY; KWOTA EKSPOZYCJI WAŻONEJ RYZYKIEM ZWIĄZANA Z WPŁYWEM STOSOWANIA ART. 465 UST. 7 ROZPORZĄDZENIA (UE) NR 575/2013</w:t>
            </w:r>
          </w:p>
          <w:p w14:paraId="7CE3FACF" w14:textId="4E9FAFC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Różnicę między kwotą ekspozycji ważonej ryzykiem bez zastosowania przepisów przejściowych</w:t>
            </w:r>
            <w:r w:rsidR="00FC4B69">
              <w:rPr>
                <w:rFonts w:ascii="Times New Roman" w:hAnsi="Times New Roman"/>
                <w:sz w:val="24"/>
              </w:rPr>
              <w:t xml:space="preserve"> a kwo</w:t>
            </w:r>
            <w:r>
              <w:rPr>
                <w:rFonts w:ascii="Times New Roman" w:hAnsi="Times New Roman"/>
                <w:sz w:val="24"/>
              </w:rPr>
              <w:t>tą ekspozycji ważonej ryzykiem</w:t>
            </w:r>
            <w:r w:rsidR="00FC4B69">
              <w:rPr>
                <w:rFonts w:ascii="Times New Roman" w:hAnsi="Times New Roman"/>
                <w:sz w:val="24"/>
              </w:rPr>
              <w:t xml:space="preserve"> z zas</w:t>
            </w:r>
            <w:r>
              <w:rPr>
                <w:rFonts w:ascii="Times New Roman" w:hAnsi="Times New Roman"/>
                <w:sz w:val="24"/>
              </w:rPr>
              <w:t>tosowaniem przepisów przejściowych zgłasza się</w:t>
            </w:r>
            <w:r w:rsidR="00FC4B69">
              <w:rPr>
                <w:rFonts w:ascii="Times New Roman" w:hAnsi="Times New Roman"/>
                <w:sz w:val="24"/>
              </w:rPr>
              <w:t xml:space="preserve"> w odn</w:t>
            </w:r>
            <w:r>
              <w:rPr>
                <w:rFonts w:ascii="Times New Roman" w:hAnsi="Times New Roman"/>
                <w:sz w:val="24"/>
              </w:rPr>
              <w:t>iesieniu do każdej</w:t>
            </w:r>
            <w:r w:rsidR="00FC4B69">
              <w:rPr>
                <w:rFonts w:ascii="Times New Roman" w:hAnsi="Times New Roman"/>
                <w:sz w:val="24"/>
              </w:rPr>
              <w:t xml:space="preserve"> z nas</w:t>
            </w:r>
            <w:r>
              <w:rPr>
                <w:rFonts w:ascii="Times New Roman" w:hAnsi="Times New Roman"/>
                <w:sz w:val="24"/>
              </w:rPr>
              <w:t>tępujących trzech metod: SEC-IRBA, metoda wewnętrznych oszacowań</w:t>
            </w:r>
            <w:r w:rsidR="00FC4B69">
              <w:rPr>
                <w:rFonts w:ascii="Times New Roman" w:hAnsi="Times New Roman"/>
                <w:sz w:val="24"/>
              </w:rPr>
              <w:t xml:space="preserve"> i szc</w:t>
            </w:r>
            <w:r>
              <w:rPr>
                <w:rFonts w:ascii="Times New Roman" w:hAnsi="Times New Roman"/>
                <w:sz w:val="24"/>
              </w:rPr>
              <w:t>zególne traktowanie transz uprzywilejowanych</w:t>
            </w:r>
            <w:r w:rsidR="00FC4B69">
              <w:rPr>
                <w:rFonts w:ascii="Times New Roman" w:hAnsi="Times New Roman"/>
                <w:sz w:val="24"/>
              </w:rPr>
              <w:t xml:space="preserve"> w ram</w:t>
            </w:r>
            <w:r>
              <w:rPr>
                <w:rFonts w:ascii="Times New Roman" w:hAnsi="Times New Roman"/>
                <w:sz w:val="24"/>
              </w:rPr>
              <w:t>ach kwalifikujących się sekurytyzacji SPE.</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6BAE11E5"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Wzór podzielony jest na trzy główne zestawienia wierszy. Służy do gromadzenia danych na temat ekspozycji zainicjowanych / sponsorowanych / utrzymanych lub nabytych przez jednostki inicjujące, inwestorów</w:t>
      </w:r>
      <w:r w:rsidR="00FC4B69">
        <w:t xml:space="preserve"> i jed</w:t>
      </w:r>
      <w:r>
        <w:t>nostki sponsorujące</w:t>
      </w:r>
      <w:r w:rsidR="00FC4B69">
        <w:t>. W prz</w:t>
      </w:r>
      <w:r>
        <w:t>ypadku każdego</w:t>
      </w:r>
      <w:r w:rsidR="00FC4B69">
        <w:t xml:space="preserve"> z nic</w:t>
      </w:r>
      <w:r>
        <w:t>h informacje podzielone są na pozycje bilansowe</w:t>
      </w:r>
      <w:r w:rsidR="00FC4B69">
        <w:t xml:space="preserve"> i poz</w:t>
      </w:r>
      <w:r>
        <w:t>abilansowe oraz instrumenty pochodne,</w:t>
      </w:r>
      <w:r w:rsidR="00FC4B69">
        <w:t xml:space="preserve"> a tak</w:t>
      </w:r>
      <w:r>
        <w:t>że określa się, czy polegają zróżnicowanemu traktowaniu kapitału, czy też nie.</w:t>
      </w:r>
    </w:p>
    <w:p w14:paraId="7068E8C5" w14:textId="796ED276" w:rsidR="00933ADA" w:rsidRPr="002A677E" w:rsidRDefault="00933ADA" w:rsidP="00933ADA">
      <w:pPr>
        <w:pStyle w:val="InstructionsText2"/>
        <w:numPr>
          <w:ilvl w:val="0"/>
          <w:numId w:val="0"/>
        </w:numPr>
        <w:ind w:left="993"/>
      </w:pPr>
      <w:r>
        <w:lastRenderedPageBreak/>
        <w:fldChar w:fldCharType="begin"/>
      </w:r>
      <w:r>
        <w:instrText>seq paragraphs</w:instrText>
      </w:r>
      <w:r>
        <w:fldChar w:fldCharType="separate"/>
      </w:r>
      <w:r>
        <w:t>110</w:t>
      </w:r>
      <w:r>
        <w:fldChar w:fldCharType="end"/>
      </w:r>
      <w:r>
        <w:t>. Pozycje traktowane zgodnie z SEC-ERBA</w:t>
      </w:r>
      <w:r w:rsidR="00FC4B69">
        <w:t xml:space="preserve"> i poz</w:t>
      </w:r>
      <w:r>
        <w:t>ycje bez ratingu (ekspozycje na dzień sprawozdawczy) dzieli się</w:t>
      </w:r>
      <w:r w:rsidR="00FC4B69">
        <w:t xml:space="preserve"> w faz</w:t>
      </w:r>
      <w:r>
        <w:t>ie wstępnej według stopni jakości kredytowej (ostatnie zestawienie wierszy). Informacje te zgłaszają jednostki inicjujące</w:t>
      </w:r>
      <w:r w:rsidR="00FC4B69">
        <w:t xml:space="preserve"> i spo</w:t>
      </w:r>
      <w:r>
        <w:t>nsorujące, jak również inwestorzy.</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Wiersze</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EKSPOZYCJE CAŁKOWITE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3F98EB4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Ekspozycje całkowite odnoszą się do całkowitej kwoty pozostających sekurytyzacji</w:t>
            </w:r>
            <w:r w:rsidR="00FC4B69">
              <w:rPr>
                <w:rFonts w:ascii="Times New Roman" w:hAnsi="Times New Roman"/>
                <w:sz w:val="24"/>
              </w:rPr>
              <w:t xml:space="preserve"> i res</w:t>
            </w:r>
            <w:r>
              <w:rPr>
                <w:rFonts w:ascii="Times New Roman" w:hAnsi="Times New Roman"/>
                <w:sz w:val="24"/>
              </w:rPr>
              <w:t>ekurytyzacji</w:t>
            </w:r>
            <w:r w:rsidR="00FC4B69">
              <w:rPr>
                <w:rFonts w:ascii="Times New Roman" w:hAnsi="Times New Roman"/>
                <w:sz w:val="24"/>
              </w:rPr>
              <w:t>. W tym</w:t>
            </w:r>
            <w:r>
              <w:rPr>
                <w:rFonts w:ascii="Times New Roman" w:hAnsi="Times New Roman"/>
                <w:sz w:val="24"/>
              </w:rPr>
              <w:t xml:space="preserve"> wierszu podsumowuje się wszystkie informacje zgłoszone przez jednostki inicjujące, jednostki sponsorujące</w:t>
            </w:r>
            <w:r w:rsidR="00FC4B69">
              <w:rPr>
                <w:rFonts w:ascii="Times New Roman" w:hAnsi="Times New Roman"/>
                <w:sz w:val="24"/>
              </w:rPr>
              <w:t xml:space="preserve"> i inw</w:t>
            </w:r>
            <w:r>
              <w:rPr>
                <w:rFonts w:ascii="Times New Roman" w:hAnsi="Times New Roman"/>
                <w:sz w:val="24"/>
              </w:rPr>
              <w:t>estorów</w:t>
            </w:r>
            <w:r w:rsidR="00FC4B69">
              <w:rPr>
                <w:rFonts w:ascii="Times New Roman" w:hAnsi="Times New Roman"/>
                <w:sz w:val="24"/>
              </w:rPr>
              <w:t xml:space="preserve"> w kol</w:t>
            </w:r>
            <w:r>
              <w:rPr>
                <w:rFonts w:ascii="Times New Roman" w:hAnsi="Times New Roman"/>
                <w:sz w:val="24"/>
              </w:rPr>
              <w:t>ejnych wierszach.</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SEKURYTYZACYJNE</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0687A80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pozostających pozycji sekurytyzacyjnych,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które nie stanowią resekurytyzacji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19ADFE9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pozycji sekurytyzacyjnych, które spełniają kryteria art. 243, 270</w:t>
            </w:r>
            <w:r w:rsidR="00FC4B69">
              <w:rPr>
                <w:rFonts w:ascii="Times New Roman" w:hAnsi="Times New Roman"/>
                <w:sz w:val="24"/>
              </w:rPr>
              <w:t xml:space="preserve"> i 4</w:t>
            </w:r>
            <w:r>
              <w:rPr>
                <w:rFonts w:ascii="Times New Roman" w:hAnsi="Times New Roman"/>
                <w:sz w:val="24"/>
              </w:rPr>
              <w:t xml:space="preserve">94c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a w zwi</w:t>
            </w:r>
            <w:r>
              <w:rPr>
                <w:rFonts w:ascii="Times New Roman" w:hAnsi="Times New Roman"/>
                <w:sz w:val="24"/>
              </w:rPr>
              <w:t>ązku</w:t>
            </w:r>
            <w:r w:rsidR="00FC4B69">
              <w:rPr>
                <w:rFonts w:ascii="Times New Roman" w:hAnsi="Times New Roman"/>
                <w:sz w:val="24"/>
              </w:rPr>
              <w:t xml:space="preserve"> z tym</w:t>
            </w:r>
            <w:r>
              <w:rPr>
                <w:rFonts w:ascii="Times New Roman" w:hAnsi="Times New Roman"/>
                <w:sz w:val="24"/>
              </w:rPr>
              <w:t xml:space="preserve"> kwalifikują się do zróżnicowanego traktowania kapitału.</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EKSPOZYCJE Z TYTUŁU SEKURYTYZACJI TRADYCYJNYCH STS ABCP I INNYCH NIŻ ABCP</w:t>
            </w:r>
          </w:p>
          <w:p w14:paraId="57865F48" w14:textId="5FEFA4A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pozycji sekurytyzacyjnych STS, które spełniają wymogi określone</w:t>
            </w:r>
            <w:r w:rsidR="00FC4B69">
              <w:rPr>
                <w:rFonts w:ascii="Times New Roman" w:hAnsi="Times New Roman"/>
                <w:sz w:val="24"/>
              </w:rPr>
              <w:t xml:space="preserve"> w art</w:t>
            </w:r>
            <w:r>
              <w:rPr>
                <w:rFonts w:ascii="Times New Roman" w:hAnsi="Times New Roman"/>
                <w:sz w:val="24"/>
              </w:rPr>
              <w:t xml:space="preserve">. 243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POZYCJA UPRZYWILEJOWANA PODLEGAJĄCA ZASADZIE PRAW NABYTYCH W SEKURYTYZACJACH SYNTETYCZNYCH MŚP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3E77282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syntetycznych pozycji sekurytyzacyjnych podlegających zasadzie praw nabytych w MŚP, które spełniają warunki określone</w:t>
            </w:r>
            <w:r w:rsidR="00FC4B69">
              <w:rPr>
                <w:rFonts w:ascii="Times New Roman" w:hAnsi="Times New Roman"/>
                <w:sz w:val="24"/>
              </w:rPr>
              <w:t xml:space="preserve"> w art</w:t>
            </w:r>
            <w:r>
              <w:rPr>
                <w:rFonts w:ascii="Times New Roman" w:hAnsi="Times New Roman"/>
                <w:sz w:val="24"/>
              </w:rPr>
              <w:t xml:space="preserve">. 494c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UPRZYWILEJOWANE W SEKURYTYZACJACH BILANSOWYCH STS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6D358385"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uprzywilejowanych pozycji sekurytyzacyjnych</w:t>
            </w:r>
            <w:r w:rsidR="00FC4B69">
              <w:rPr>
                <w:rFonts w:ascii="Times New Roman" w:hAnsi="Times New Roman"/>
                <w:sz w:val="24"/>
              </w:rPr>
              <w:t xml:space="preserve"> w sek</w:t>
            </w:r>
            <w:r>
              <w:rPr>
                <w:rFonts w:ascii="Times New Roman" w:hAnsi="Times New Roman"/>
                <w:sz w:val="24"/>
              </w:rPr>
              <w:t>urytyzacjach bilansowych STS, które spełniają wymogi określone</w:t>
            </w:r>
            <w:r w:rsidR="00FC4B69">
              <w:rPr>
                <w:rFonts w:ascii="Times New Roman" w:hAnsi="Times New Roman"/>
                <w:sz w:val="24"/>
              </w:rPr>
              <w:t xml:space="preserve"> w art</w:t>
            </w:r>
            <w:r>
              <w:rPr>
                <w:rFonts w:ascii="Times New Roman" w:hAnsi="Times New Roman"/>
                <w:sz w:val="24"/>
              </w:rPr>
              <w:t xml:space="preserve">. 270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22B330CD"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w:t>
            </w:r>
            <w:r w:rsidR="00FC4B69">
              <w:rPr>
                <w:rFonts w:ascii="Times New Roman" w:hAnsi="Times New Roman"/>
                <w:sz w:val="24"/>
              </w:rPr>
              <w:t xml:space="preserve"> i 0</w:t>
            </w:r>
            <w:r>
              <w:rPr>
                <w:rFonts w:ascii="Times New Roman" w:hAnsi="Times New Roman"/>
                <w:sz w:val="24"/>
              </w:rPr>
              <w:t>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NIEKWALIFIKUJĄCE SIĘ DO ZRÓŻNICOWANEGO TRAKTOWANIA KAPITAŁU</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0E65FB2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254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4, 5</w:t>
            </w:r>
            <w:r w:rsidR="00FC4B69">
              <w:rPr>
                <w:rFonts w:ascii="Times New Roman" w:hAnsi="Times New Roman"/>
                <w:sz w:val="24"/>
              </w:rPr>
              <w:t xml:space="preserve"> i 6</w:t>
            </w:r>
            <w:r>
              <w:rPr>
                <w:rFonts w:ascii="Times New Roman" w:hAnsi="Times New Roman"/>
                <w:sz w:val="24"/>
              </w:rPr>
              <w:t xml:space="preserve"> oraz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59, 261, 263, 265, 266</w:t>
            </w:r>
            <w:r w:rsidR="00FC4B69">
              <w:rPr>
                <w:rFonts w:ascii="Times New Roman" w:hAnsi="Times New Roman"/>
                <w:sz w:val="24"/>
              </w:rPr>
              <w:t xml:space="preserve"> i 2</w:t>
            </w:r>
            <w:r>
              <w:rPr>
                <w:rFonts w:ascii="Times New Roman" w:hAnsi="Times New Roman"/>
                <w:sz w:val="24"/>
              </w:rPr>
              <w:t xml:space="preserve">69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Całkowita kwota pozycji sekurytyzacyjnych, które nie kwalifikują się do zróżnicowanego traktowania kapitału.</w:t>
            </w:r>
          </w:p>
        </w:tc>
      </w:tr>
      <w:tr w:rsidR="00933ADA" w:rsidRPr="002A677E" w14:paraId="65FB71DD" w14:textId="77777777" w:rsidTr="00822842">
        <w:tc>
          <w:tcPr>
            <w:tcW w:w="1256" w:type="dxa"/>
          </w:tcPr>
          <w:p w14:paraId="1D10F36F" w14:textId="15F29F95"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w:t>
            </w:r>
            <w:r w:rsidR="00FC4B69">
              <w:rPr>
                <w:rFonts w:ascii="Times New Roman" w:hAnsi="Times New Roman"/>
                <w:sz w:val="24"/>
              </w:rPr>
              <w:t xml:space="preserve"> i 0</w:t>
            </w:r>
            <w:r>
              <w:rPr>
                <w:rFonts w:ascii="Times New Roman" w:hAnsi="Times New Roman"/>
                <w:sz w:val="24"/>
              </w:rPr>
              <w:t>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RESEKURYTYZACYJNE</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5AD4920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Całkowita kwota pozostających pozycji resekurytyzacyjnych,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INICJUJĄCA: EKSPOZYCJE CAŁKOWITE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67C9CAB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FC4B69">
              <w:rPr>
                <w:rFonts w:ascii="Times New Roman" w:hAnsi="Times New Roman"/>
                <w:sz w:val="24"/>
              </w:rPr>
              <w:t xml:space="preserve"> i poz</w:t>
            </w:r>
            <w:r>
              <w:rPr>
                <w:rFonts w:ascii="Times New Roman" w:hAnsi="Times New Roman"/>
                <w:sz w:val="24"/>
              </w:rPr>
              <w:t>abilansowych oraz instrumentów pochodnych tych pozycji sekurytyzacyjnych oraz resekurytyzacyjnych,</w:t>
            </w:r>
            <w:r w:rsidR="00FC4B69">
              <w:rPr>
                <w:rFonts w:ascii="Times New Roman" w:hAnsi="Times New Roman"/>
                <w:sz w:val="24"/>
              </w:rPr>
              <w:t xml:space="preserve"> w odn</w:t>
            </w:r>
            <w:r>
              <w:rPr>
                <w:rFonts w:ascii="Times New Roman" w:hAnsi="Times New Roman"/>
                <w:sz w:val="24"/>
              </w:rPr>
              <w:t>iesieniu do których instytucja pełni rolę jednostki inicjującej,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oraz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SEKURYTYZACYJNE: POZYCJE BILANSOWE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46BCB6F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art</w:t>
            </w:r>
            <w:r>
              <w:rPr>
                <w:rFonts w:ascii="Times New Roman" w:hAnsi="Times New Roman"/>
                <w:sz w:val="24"/>
              </w:rPr>
              <w:t xml:space="preserve">. 248 ust. 1 lit. 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wartością ekspozycji</w:t>
            </w:r>
            <w:r w:rsidR="00FC4B69">
              <w:rPr>
                <w:rFonts w:ascii="Times New Roman" w:hAnsi="Times New Roman"/>
                <w:sz w:val="24"/>
              </w:rPr>
              <w:t xml:space="preserve"> z tyt</w:t>
            </w:r>
            <w:r>
              <w:rPr>
                <w:rFonts w:ascii="Times New Roman" w:hAnsi="Times New Roman"/>
                <w:sz w:val="24"/>
              </w:rPr>
              <w:t>ułu bilansowej pozycji sekurytyzacyjnej jest jej wartość księgowa pozostająca po zastosowaniu</w:t>
            </w:r>
            <w:r w:rsidR="00FC4B69">
              <w:rPr>
                <w:rFonts w:ascii="Times New Roman" w:hAnsi="Times New Roman"/>
                <w:sz w:val="24"/>
              </w:rPr>
              <w:t xml:space="preserve"> w odn</w:t>
            </w:r>
            <w:r>
              <w:rPr>
                <w:rFonts w:ascii="Times New Roman" w:hAnsi="Times New Roman"/>
                <w:sz w:val="24"/>
              </w:rPr>
              <w:t>iesieniu do sekurytyzacji zgodnie</w:t>
            </w:r>
            <w:r w:rsidR="00FC4B69">
              <w:rPr>
                <w:rFonts w:ascii="Times New Roman" w:hAnsi="Times New Roman"/>
                <w:sz w:val="24"/>
              </w:rPr>
              <w:t xml:space="preserve"> z art</w:t>
            </w:r>
            <w:r>
              <w:rPr>
                <w:rFonts w:ascii="Times New Roman" w:hAnsi="Times New Roman"/>
                <w:sz w:val="24"/>
              </w:rPr>
              <w:t xml:space="preserve">. 110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wszelkich stosownych korekt</w:t>
            </w:r>
            <w:r w:rsidR="00FC4B69">
              <w:rPr>
                <w:rFonts w:ascii="Times New Roman" w:hAnsi="Times New Roman"/>
                <w:sz w:val="24"/>
              </w:rPr>
              <w:t xml:space="preserve"> z tyt</w:t>
            </w:r>
            <w:r>
              <w:rPr>
                <w:rFonts w:ascii="Times New Roman" w:hAnsi="Times New Roman"/>
                <w:sz w:val="24"/>
              </w:rPr>
              <w:t>ułu szczególnego ryzyka kredytowego.</w:t>
            </w:r>
          </w:p>
          <w:p w14:paraId="04329A93" w14:textId="1BB3A8F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Pozycje bilansowe dzieli się</w:t>
            </w:r>
            <w:r w:rsidR="00FC4B69">
              <w:rPr>
                <w:rFonts w:ascii="Times New Roman" w:hAnsi="Times New Roman"/>
                <w:sz w:val="24"/>
              </w:rPr>
              <w:t xml:space="preserve"> w cel</w:t>
            </w:r>
            <w:r>
              <w:rPr>
                <w:rFonts w:ascii="Times New Roman" w:hAnsi="Times New Roman"/>
                <w:sz w:val="24"/>
              </w:rPr>
              <w:t>u zgromadzenia informacji dotyczących stosowania zróżnicowanego traktowania kapitału,</w:t>
            </w:r>
            <w:r w:rsidR="00FC4B69">
              <w:rPr>
                <w:rFonts w:ascii="Times New Roman" w:hAnsi="Times New Roman"/>
                <w:sz w:val="24"/>
              </w:rPr>
              <w:t xml:space="preserve"> o któ</w:t>
            </w:r>
            <w:r>
              <w:rPr>
                <w:rFonts w:ascii="Times New Roman" w:hAnsi="Times New Roman"/>
                <w:sz w:val="24"/>
              </w:rPr>
              <w:t>rym mowa</w:t>
            </w:r>
            <w:r w:rsidR="00FC4B69">
              <w:rPr>
                <w:rFonts w:ascii="Times New Roman" w:hAnsi="Times New Roman"/>
                <w:sz w:val="24"/>
              </w:rPr>
              <w:t xml:space="preserve"> w art</w:t>
            </w:r>
            <w:r>
              <w:rPr>
                <w:rFonts w:ascii="Times New Roman" w:hAnsi="Times New Roman"/>
                <w:sz w:val="24"/>
              </w:rPr>
              <w:t xml:space="preserve">. 243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wie</w:t>
            </w:r>
            <w:r>
              <w:rPr>
                <w:rFonts w:ascii="Times New Roman" w:hAnsi="Times New Roman"/>
                <w:sz w:val="24"/>
              </w:rPr>
              <w:t>rszach 0100</w:t>
            </w:r>
            <w:r w:rsidR="00FC4B69">
              <w:rPr>
                <w:rFonts w:ascii="Times New Roman" w:hAnsi="Times New Roman"/>
                <w:sz w:val="24"/>
              </w:rPr>
              <w:t xml:space="preserve"> i 0</w:t>
            </w:r>
            <w:r>
              <w:rPr>
                <w:rFonts w:ascii="Times New Roman" w:hAnsi="Times New Roman"/>
                <w:sz w:val="24"/>
              </w:rPr>
              <w:t>120 oraz informacji dotyczących całkowitej kwoty uprzywilejowanych pozycji sekurytyzacyjnych,</w:t>
            </w:r>
            <w:r w:rsidR="00FC4B69">
              <w:rPr>
                <w:rFonts w:ascii="Times New Roman" w:hAnsi="Times New Roman"/>
                <w:sz w:val="24"/>
              </w:rPr>
              <w:t xml:space="preserve"> o któ</w:t>
            </w:r>
            <w:r>
              <w:rPr>
                <w:rFonts w:ascii="Times New Roman" w:hAnsi="Times New Roman"/>
                <w:sz w:val="24"/>
              </w:rPr>
              <w:t>rych mowa</w:t>
            </w:r>
            <w:r w:rsidR="00FC4B69">
              <w:rPr>
                <w:rFonts w:ascii="Times New Roman" w:hAnsi="Times New Roman"/>
                <w:sz w:val="24"/>
              </w:rPr>
              <w:t xml:space="preserve"> w art</w:t>
            </w:r>
            <w:r>
              <w:rPr>
                <w:rFonts w:ascii="Times New Roman" w:hAnsi="Times New Roman"/>
                <w:sz w:val="24"/>
              </w:rPr>
              <w:t>. 242 ust. 6 tego rozporządzenia</w:t>
            </w:r>
            <w:r w:rsidR="00FC4B69">
              <w:rPr>
                <w:rFonts w:ascii="Times New Roman" w:hAnsi="Times New Roman"/>
                <w:sz w:val="24"/>
              </w:rPr>
              <w:t xml:space="preserve"> w wie</w:t>
            </w:r>
            <w:r>
              <w:rPr>
                <w:rFonts w:ascii="Times New Roman" w:hAnsi="Times New Roman"/>
                <w:sz w:val="24"/>
              </w:rPr>
              <w:t>rszach 0110</w:t>
            </w:r>
            <w:r w:rsidR="00FC4B69">
              <w:rPr>
                <w:rFonts w:ascii="Times New Roman" w:hAnsi="Times New Roman"/>
                <w:sz w:val="24"/>
              </w:rPr>
              <w:t xml:space="preserve"> i 0</w:t>
            </w:r>
            <w:r>
              <w:rPr>
                <w:rFonts w:ascii="Times New Roman" w:hAnsi="Times New Roman"/>
                <w:sz w:val="24"/>
              </w:rPr>
              <w:t>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3A88B068"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w:t>
            </w:r>
            <w:r w:rsidR="00FC4B69">
              <w:rPr>
                <w:rFonts w:ascii="Times New Roman" w:hAnsi="Times New Roman"/>
                <w:sz w:val="24"/>
              </w:rPr>
              <w:t xml:space="preserve"> i 0</w:t>
            </w:r>
            <w:r>
              <w:rPr>
                <w:rFonts w:ascii="Times New Roman" w:hAnsi="Times New Roman"/>
                <w:sz w:val="24"/>
              </w:rPr>
              <w:t>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3080AFF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które spełniają kryteria art. 243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a w zwi</w:t>
            </w:r>
            <w:r>
              <w:rPr>
                <w:rFonts w:ascii="Times New Roman" w:hAnsi="Times New Roman"/>
                <w:sz w:val="24"/>
              </w:rPr>
              <w:t>ązku</w:t>
            </w:r>
            <w:r w:rsidR="00FC4B69">
              <w:rPr>
                <w:rFonts w:ascii="Times New Roman" w:hAnsi="Times New Roman"/>
                <w:sz w:val="24"/>
              </w:rPr>
              <w:t xml:space="preserve"> z tym</w:t>
            </w:r>
            <w:r>
              <w:rPr>
                <w:rFonts w:ascii="Times New Roman" w:hAnsi="Times New Roman"/>
                <w:sz w:val="24"/>
              </w:rPr>
              <w:t xml:space="preserve"> kwalifikują się do zróżnicowanego traktowania kapitału.</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0110, 0131, 0134, 0160, 0180, 0230, 0251, 0254, 0280, </w:t>
            </w:r>
            <w:r>
              <w:rPr>
                <w:rFonts w:ascii="Times New Roman" w:hAnsi="Times New Roman"/>
                <w:sz w:val="24"/>
              </w:rPr>
              <w:lastRenderedPageBreak/>
              <w:t>0300, 0350, 0371, 0374 0400 oraz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W TYM: EKSPOZYCJE UPRZYWILEJOWANE</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4428C385"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Całkowita kwota uprzywilejowanych pozycji sekurytyzacyjnych zdefiniowanych</w:t>
            </w:r>
            <w:r w:rsidR="00FC4B69">
              <w:rPr>
                <w:rFonts w:ascii="Times New Roman" w:hAnsi="Times New Roman"/>
                <w:sz w:val="24"/>
              </w:rPr>
              <w:t xml:space="preserve"> w art</w:t>
            </w:r>
            <w:r>
              <w:rPr>
                <w:rFonts w:ascii="Times New Roman" w:hAnsi="Times New Roman"/>
                <w:sz w:val="24"/>
              </w:rPr>
              <w:t xml:space="preserve">. 242 pkt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18F1CB2F"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w:t>
            </w:r>
            <w:r w:rsidR="00FC4B69">
              <w:rPr>
                <w:rFonts w:ascii="Times New Roman" w:hAnsi="Times New Roman"/>
                <w:sz w:val="24"/>
              </w:rPr>
              <w:t xml:space="preserve"> i 0</w:t>
            </w:r>
            <w:r>
              <w:rPr>
                <w:rFonts w:ascii="Times New Roman" w:hAnsi="Times New Roman"/>
                <w:sz w:val="24"/>
              </w:rPr>
              <w:t>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EKSPOZYCJE Z TYTUŁU SEKURYTYZACJI EKSPOZYCJI INNYCH NIŻ NIEOBSŁUGIWANE</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66619474"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Całkowita kwota ekspozycji niespełniających warunków określonych</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A3257D4" w14:textId="77777777" w:rsidR="00933ADA" w:rsidRPr="00E16840"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6BA7439C"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w:t>
            </w:r>
            <w:r w:rsidR="00FC4B69">
              <w:rPr>
                <w:rFonts w:ascii="Times New Roman" w:hAnsi="Times New Roman"/>
                <w:sz w:val="24"/>
              </w:rPr>
              <w:t xml:space="preserve"> i 0</w:t>
            </w:r>
            <w:r>
              <w:rPr>
                <w:rFonts w:ascii="Times New Roman" w:hAnsi="Times New Roman"/>
                <w:sz w:val="24"/>
              </w:rPr>
              <w:t>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EKSPOZYCJE Z TYTUŁU SEKURYTYZACJI EKSPOZYCJI NIEOBSŁUGIWANYCH</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EDC3DFA" w:rsidR="00933ADA" w:rsidRPr="002A677E" w:rsidRDefault="00933ADA" w:rsidP="00822842">
            <w:pPr>
              <w:spacing w:before="0" w:after="0"/>
              <w:rPr>
                <w:rFonts w:ascii="Times New Roman" w:hAnsi="Times New Roman"/>
                <w:sz w:val="24"/>
              </w:rPr>
            </w:pPr>
            <w:r>
              <w:rPr>
                <w:rFonts w:ascii="Times New Roman" w:hAnsi="Times New Roman"/>
                <w:sz w:val="24"/>
              </w:rPr>
              <w:t>Całkowita kwota ekspozycji spełniających warunki określone</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0EBB38BE"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0134, 0254</w:t>
            </w:r>
            <w:r w:rsidR="00FC4B69">
              <w:rPr>
                <w:rFonts w:ascii="Times New Roman" w:hAnsi="Times New Roman"/>
                <w:sz w:val="24"/>
              </w:rPr>
              <w:t xml:space="preserve"> i 0</w:t>
            </w:r>
            <w:r>
              <w:rPr>
                <w:rFonts w:ascii="Times New Roman" w:hAnsi="Times New Roman"/>
                <w:sz w:val="24"/>
              </w:rPr>
              <w:t xml:space="preserve">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W TYM: EKSPOZYCJE UPRZYWILEJOWANE W KWALIFIKUJĄCYCH SIĘ TRADYCYJNYCH SEKURYTYZACJACH EKSPOZYCJI NIEOBSŁUGIWANYCH</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301C5A2A" w:rsidR="00933ADA" w:rsidRPr="002A677E" w:rsidRDefault="00933ADA" w:rsidP="00822842">
            <w:pPr>
              <w:spacing w:before="0" w:after="0"/>
              <w:rPr>
                <w:rFonts w:ascii="Times New Roman" w:hAnsi="Times New Roman"/>
                <w:sz w:val="24"/>
              </w:rPr>
            </w:pPr>
            <w:r>
              <w:rPr>
                <w:rFonts w:ascii="Times New Roman" w:hAnsi="Times New Roman"/>
                <w:sz w:val="24"/>
              </w:rPr>
              <w:t>Całkowita kwota ekspozycji spełniających warunki określone</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04FF5C0D"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w:t>
            </w:r>
            <w:r w:rsidR="00FC4B69">
              <w:rPr>
                <w:rFonts w:ascii="Times New Roman" w:hAnsi="Times New Roman"/>
                <w:sz w:val="24"/>
              </w:rPr>
              <w:t xml:space="preserve"> i 0</w:t>
            </w:r>
            <w:r>
              <w:rPr>
                <w:rFonts w:ascii="Times New Roman" w:hAnsi="Times New Roman"/>
                <w:sz w:val="24"/>
              </w:rPr>
              <w:t>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W TYM: EKSPOZYCJE UPRZYWILEJOWANE W NIEKWALIFIKUJĄCYCH SIĘ TRADYCYJNYCH SEKURYTYZACJACH EKSPOZYCJI NIEOBSŁUGIWANYCH</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2697AE36"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Całkowita kwota ekspozycji niespełniających warunków określonych</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FBF377F" w14:textId="77777777" w:rsidR="00933ADA" w:rsidRPr="00E16840"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20D1449A"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w:t>
            </w:r>
            <w:r w:rsidR="00FC4B69">
              <w:rPr>
                <w:rFonts w:ascii="Times New Roman" w:hAnsi="Times New Roman"/>
                <w:sz w:val="24"/>
              </w:rPr>
              <w:t xml:space="preserve"> i 0</w:t>
            </w:r>
            <w:r>
              <w:rPr>
                <w:rFonts w:ascii="Times New Roman" w:hAnsi="Times New Roman"/>
                <w:sz w:val="24"/>
              </w:rPr>
              <w:t>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W TYM: EKSPOZYCJE NIEUPRZYWILEJOWANE W KWALIFIKUJĄCYCH SIĘ TRADYCYJNYCH SEKURYTYZACJACH EKSPOZYCJI NIEOBSŁUGIWANYCH</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1EAC9DB7" w:rsidR="00933ADA" w:rsidRPr="001235ED" w:rsidRDefault="00933ADA" w:rsidP="00822842">
            <w:pPr>
              <w:spacing w:before="0" w:after="0"/>
              <w:rPr>
                <w:rFonts w:ascii="Times New Roman" w:hAnsi="Times New Roman"/>
                <w:sz w:val="24"/>
              </w:rPr>
            </w:pPr>
            <w:r>
              <w:rPr>
                <w:rFonts w:ascii="Times New Roman" w:hAnsi="Times New Roman"/>
                <w:sz w:val="24"/>
              </w:rPr>
              <w:t>Całkowita kwota ekspozycji spełniających warunki określone</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i nie</w:t>
            </w:r>
            <w:r>
              <w:rPr>
                <w:rFonts w:ascii="Times New Roman" w:hAnsi="Times New Roman"/>
                <w:sz w:val="24"/>
              </w:rPr>
              <w:t>spełniających warunków określonych</w:t>
            </w:r>
            <w:r w:rsidR="00FC4B69">
              <w:rPr>
                <w:rFonts w:ascii="Times New Roman" w:hAnsi="Times New Roman"/>
                <w:sz w:val="24"/>
              </w:rPr>
              <w:t xml:space="preserve"> w art</w:t>
            </w:r>
            <w:r>
              <w:rPr>
                <w:rFonts w:ascii="Times New Roman" w:hAnsi="Times New Roman"/>
                <w:sz w:val="24"/>
              </w:rPr>
              <w:t xml:space="preserve">. 269a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oraz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POZYCJE SEKURYTYZACYJNE: POZYCJE POZABILANSOWE I INSTRUMENTY POCHODNE</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3407C56E"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W wierszach tych gromadzone są informacje</w:t>
            </w:r>
            <w:r w:rsidR="00FC4B69">
              <w:rPr>
                <w:rFonts w:ascii="Times New Roman" w:hAnsi="Times New Roman"/>
                <w:sz w:val="24"/>
              </w:rPr>
              <w:t xml:space="preserve"> o poz</w:t>
            </w:r>
            <w:r>
              <w:rPr>
                <w:rFonts w:ascii="Times New Roman" w:hAnsi="Times New Roman"/>
                <w:sz w:val="24"/>
              </w:rPr>
              <w:t>ycjach pozabilansowych</w:t>
            </w:r>
            <w:r w:rsidR="00FC4B69">
              <w:rPr>
                <w:rFonts w:ascii="Times New Roman" w:hAnsi="Times New Roman"/>
                <w:sz w:val="24"/>
              </w:rPr>
              <w:t xml:space="preserve"> i ins</w:t>
            </w:r>
            <w:r>
              <w:rPr>
                <w:rFonts w:ascii="Times New Roman" w:hAnsi="Times New Roman"/>
                <w:sz w:val="24"/>
              </w:rPr>
              <w:t>trumentach pochodnych dotyczących pozycji sekurytyzacyjnych, wobec których stosuje się współczynnik konwersji</w:t>
            </w:r>
            <w:r w:rsidR="00FC4B69">
              <w:rPr>
                <w:rFonts w:ascii="Times New Roman" w:hAnsi="Times New Roman"/>
                <w:sz w:val="24"/>
              </w:rPr>
              <w:t xml:space="preserve"> w ram</w:t>
            </w:r>
            <w:r>
              <w:rPr>
                <w:rFonts w:ascii="Times New Roman" w:hAnsi="Times New Roman"/>
                <w:sz w:val="24"/>
              </w:rPr>
              <w:t>ach koncepcji sekurytyzacji. Wartością ekspozycji</w:t>
            </w:r>
            <w:r w:rsidR="00FC4B69">
              <w:rPr>
                <w:rFonts w:ascii="Times New Roman" w:hAnsi="Times New Roman"/>
                <w:sz w:val="24"/>
              </w:rPr>
              <w:t xml:space="preserve"> z tyt</w:t>
            </w:r>
            <w:r>
              <w:rPr>
                <w:rFonts w:ascii="Times New Roman" w:hAnsi="Times New Roman"/>
                <w:sz w:val="24"/>
              </w:rPr>
              <w:t>ułu pozabilansowej pozycji sekurytyzacyjnej jest jej wartość nominalna pomniejszona</w:t>
            </w:r>
            <w:r w:rsidR="00FC4B69">
              <w:rPr>
                <w:rFonts w:ascii="Times New Roman" w:hAnsi="Times New Roman"/>
                <w:sz w:val="24"/>
              </w:rPr>
              <w:t xml:space="preserve"> o war</w:t>
            </w:r>
            <w:r>
              <w:rPr>
                <w:rFonts w:ascii="Times New Roman" w:hAnsi="Times New Roman"/>
                <w:sz w:val="24"/>
              </w:rPr>
              <w:t>tość wszelkich korekt</w:t>
            </w:r>
            <w:r w:rsidR="00FC4B69">
              <w:rPr>
                <w:rFonts w:ascii="Times New Roman" w:hAnsi="Times New Roman"/>
                <w:sz w:val="24"/>
              </w:rPr>
              <w:t xml:space="preserve"> z tyt</w:t>
            </w:r>
            <w:r>
              <w:rPr>
                <w:rFonts w:ascii="Times New Roman" w:hAnsi="Times New Roman"/>
                <w:sz w:val="24"/>
              </w:rPr>
              <w:t>ułu szczególnego ryzyka kredytowego dotyczących tej pozycji sekurytyzacyjnej</w:t>
            </w:r>
            <w:r w:rsidR="00FC4B69">
              <w:rPr>
                <w:rFonts w:ascii="Times New Roman" w:hAnsi="Times New Roman"/>
                <w:sz w:val="24"/>
              </w:rPr>
              <w:t xml:space="preserve"> i pom</w:t>
            </w:r>
            <w:r>
              <w:rPr>
                <w:rFonts w:ascii="Times New Roman" w:hAnsi="Times New Roman"/>
                <w:sz w:val="24"/>
              </w:rPr>
              <w:t>nożona przez</w:t>
            </w:r>
            <w:r>
              <w:t xml:space="preserve"> </w:t>
            </w:r>
            <w:r>
              <w:rPr>
                <w:rFonts w:ascii="Times New Roman" w:hAnsi="Times New Roman"/>
                <w:sz w:val="24"/>
              </w:rPr>
              <w:t>100 % wartości współczynnika konwersji,</w:t>
            </w:r>
            <w:r w:rsidR="00FC4B69">
              <w:rPr>
                <w:rFonts w:ascii="Times New Roman" w:hAnsi="Times New Roman"/>
                <w:sz w:val="24"/>
              </w:rPr>
              <w:t xml:space="preserve"> o ile</w:t>
            </w:r>
            <w:r>
              <w:rPr>
                <w:rFonts w:ascii="Times New Roman" w:hAnsi="Times New Roman"/>
                <w:sz w:val="24"/>
              </w:rPr>
              <w:t xml:space="preserve"> nie przewidziano inaczej.</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39A626E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Pozabilansowe pozycje sekurytyzacyjne wynikające</w:t>
            </w:r>
            <w:r w:rsidR="00FC4B69">
              <w:rPr>
                <w:rFonts w:ascii="Times New Roman" w:hAnsi="Times New Roman"/>
                <w:sz w:val="24"/>
              </w:rPr>
              <w:t xml:space="preserve"> z ins</w:t>
            </w:r>
            <w:r>
              <w:rPr>
                <w:rFonts w:ascii="Times New Roman" w:hAnsi="Times New Roman"/>
                <w:sz w:val="24"/>
              </w:rPr>
              <w:t>trumentu pochodnego wymienionego</w:t>
            </w:r>
            <w:r w:rsidR="00FC4B69">
              <w:rPr>
                <w:rFonts w:ascii="Times New Roman" w:hAnsi="Times New Roman"/>
                <w:sz w:val="24"/>
              </w:rPr>
              <w:t xml:space="preserve"> w zał</w:t>
            </w:r>
            <w:r>
              <w:rPr>
                <w:rFonts w:ascii="Times New Roman" w:hAnsi="Times New Roman"/>
                <w:sz w:val="24"/>
              </w:rPr>
              <w:t xml:space="preserve">ączniku II do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określa się zgodnie</w:t>
            </w:r>
            <w:r w:rsidR="00FC4B69">
              <w:rPr>
                <w:rFonts w:ascii="Times New Roman" w:hAnsi="Times New Roman"/>
                <w:sz w:val="24"/>
              </w:rPr>
              <w:t xml:space="preserve"> z czę</w:t>
            </w:r>
            <w:r>
              <w:rPr>
                <w:rFonts w:ascii="Times New Roman" w:hAnsi="Times New Roman"/>
                <w:sz w:val="24"/>
              </w:rPr>
              <w:t xml:space="preserve">ścią trzecią tytuł II rozdział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Wartość ekspozycji na ryzyko kredytowe kontrahenta</w:t>
            </w:r>
            <w:r w:rsidR="00FC4B69">
              <w:rPr>
                <w:rFonts w:ascii="Times New Roman" w:hAnsi="Times New Roman"/>
                <w:sz w:val="24"/>
              </w:rPr>
              <w:t xml:space="preserve"> z tyt</w:t>
            </w:r>
            <w:r>
              <w:rPr>
                <w:rFonts w:ascii="Times New Roman" w:hAnsi="Times New Roman"/>
                <w:sz w:val="24"/>
              </w:rPr>
              <w:t>ułu instrumentu pochodnego wymienionego</w:t>
            </w:r>
            <w:r w:rsidR="00FC4B69">
              <w:rPr>
                <w:rFonts w:ascii="Times New Roman" w:hAnsi="Times New Roman"/>
                <w:sz w:val="24"/>
              </w:rPr>
              <w:t xml:space="preserve"> w zał</w:t>
            </w:r>
            <w:r>
              <w:rPr>
                <w:rFonts w:ascii="Times New Roman" w:hAnsi="Times New Roman"/>
                <w:sz w:val="24"/>
              </w:rPr>
              <w:t xml:space="preserve">ączniku II do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określa się zgodnie</w:t>
            </w:r>
            <w:r w:rsidR="00FC4B69">
              <w:rPr>
                <w:rFonts w:ascii="Times New Roman" w:hAnsi="Times New Roman"/>
                <w:sz w:val="24"/>
              </w:rPr>
              <w:t xml:space="preserve"> z czę</w:t>
            </w:r>
            <w:r>
              <w:rPr>
                <w:rFonts w:ascii="Times New Roman" w:hAnsi="Times New Roman"/>
                <w:sz w:val="24"/>
              </w:rPr>
              <w:t xml:space="preserve">ścią trzecią tytuł II rozdział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3D32E5F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odniesieniu do instrumentów wsparcia płynności, zobowiązań kredytowych</w:t>
            </w:r>
            <w:r w:rsidR="00FC4B69">
              <w:rPr>
                <w:rFonts w:ascii="Times New Roman" w:hAnsi="Times New Roman"/>
                <w:sz w:val="24"/>
              </w:rPr>
              <w:t xml:space="preserve"> i zal</w:t>
            </w:r>
            <w:r>
              <w:rPr>
                <w:rFonts w:ascii="Times New Roman" w:hAnsi="Times New Roman"/>
                <w:sz w:val="24"/>
              </w:rPr>
              <w:t>iczek gotówkowych jednostki obsługującej instytucje podają niewykorzystane kwoty.</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3C9473B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Jeżeli chodzi</w:t>
            </w:r>
            <w:r w:rsidR="00FC4B69">
              <w:rPr>
                <w:rFonts w:ascii="Times New Roman" w:hAnsi="Times New Roman"/>
                <w:sz w:val="24"/>
              </w:rPr>
              <w:t xml:space="preserve"> o sto</w:t>
            </w:r>
            <w:r>
              <w:rPr>
                <w:rFonts w:ascii="Times New Roman" w:hAnsi="Times New Roman"/>
                <w:sz w:val="24"/>
              </w:rPr>
              <w:t>pę procentową</w:t>
            </w:r>
            <w:r w:rsidR="00FC4B69">
              <w:rPr>
                <w:rFonts w:ascii="Times New Roman" w:hAnsi="Times New Roman"/>
                <w:sz w:val="24"/>
              </w:rPr>
              <w:t xml:space="preserve"> i swa</w:t>
            </w:r>
            <w:r>
              <w:rPr>
                <w:rFonts w:ascii="Times New Roman" w:hAnsi="Times New Roman"/>
                <w:sz w:val="24"/>
              </w:rPr>
              <w:t>py walutowe, podaje się wartość ekspozycji (obliczaną zgodnie</w:t>
            </w:r>
            <w:r w:rsidR="00FC4B69">
              <w:rPr>
                <w:rFonts w:ascii="Times New Roman" w:hAnsi="Times New Roman"/>
                <w:sz w:val="24"/>
              </w:rPr>
              <w:t xml:space="preserve"> z art</w:t>
            </w:r>
            <w:r>
              <w:rPr>
                <w:rFonts w:ascii="Times New Roman" w:hAnsi="Times New Roman"/>
                <w:sz w:val="24"/>
              </w:rPr>
              <w:t xml:space="preserve">. 248 ust. 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37C6ED6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Pozycje bilansowe</w:t>
            </w:r>
            <w:r w:rsidR="00FC4B69">
              <w:rPr>
                <w:rFonts w:ascii="Times New Roman" w:hAnsi="Times New Roman"/>
                <w:sz w:val="24"/>
              </w:rPr>
              <w:t xml:space="preserve"> i ins</w:t>
            </w:r>
            <w:r>
              <w:rPr>
                <w:rFonts w:ascii="Times New Roman" w:hAnsi="Times New Roman"/>
                <w:sz w:val="24"/>
              </w:rPr>
              <w:t>trumenty pochodne dzieli się</w:t>
            </w:r>
            <w:r w:rsidR="00FC4B69">
              <w:rPr>
                <w:rFonts w:ascii="Times New Roman" w:hAnsi="Times New Roman"/>
                <w:sz w:val="24"/>
              </w:rPr>
              <w:t xml:space="preserve"> w cel</w:t>
            </w:r>
            <w:r>
              <w:rPr>
                <w:rFonts w:ascii="Times New Roman" w:hAnsi="Times New Roman"/>
                <w:sz w:val="24"/>
              </w:rPr>
              <w:t>u zgromadzenia informacji dotyczących stosowania zróżnicowanego traktowania kapitału,</w:t>
            </w:r>
            <w:r w:rsidR="00FC4B69">
              <w:rPr>
                <w:rFonts w:ascii="Times New Roman" w:hAnsi="Times New Roman"/>
                <w:sz w:val="24"/>
              </w:rPr>
              <w:t xml:space="preserve"> o któ</w:t>
            </w:r>
            <w:r>
              <w:rPr>
                <w:rFonts w:ascii="Times New Roman" w:hAnsi="Times New Roman"/>
                <w:sz w:val="24"/>
              </w:rPr>
              <w:t>rym mowa</w:t>
            </w:r>
            <w:r w:rsidR="00FC4B69">
              <w:rPr>
                <w:rFonts w:ascii="Times New Roman" w:hAnsi="Times New Roman"/>
                <w:sz w:val="24"/>
              </w:rPr>
              <w:t xml:space="preserve"> w art</w:t>
            </w:r>
            <w:r>
              <w:rPr>
                <w:rFonts w:ascii="Times New Roman" w:hAnsi="Times New Roman"/>
                <w:sz w:val="24"/>
              </w:rPr>
              <w:t xml:space="preserve">. 270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wie</w:t>
            </w:r>
            <w:r>
              <w:rPr>
                <w:rFonts w:ascii="Times New Roman" w:hAnsi="Times New Roman"/>
                <w:sz w:val="24"/>
              </w:rPr>
              <w:t>rszach 0150</w:t>
            </w:r>
            <w:r w:rsidR="00FC4B69">
              <w:rPr>
                <w:rFonts w:ascii="Times New Roman" w:hAnsi="Times New Roman"/>
                <w:sz w:val="24"/>
              </w:rPr>
              <w:t xml:space="preserve"> i 0</w:t>
            </w:r>
            <w:r>
              <w:rPr>
                <w:rFonts w:ascii="Times New Roman" w:hAnsi="Times New Roman"/>
                <w:sz w:val="24"/>
              </w:rPr>
              <w:t>170 oraz informacji dotyczących całkowitej kwoty uprzywilejowanych pozycji sekurytyzacyjnych,</w:t>
            </w:r>
            <w:r w:rsidR="00FC4B69">
              <w:rPr>
                <w:rFonts w:ascii="Times New Roman" w:hAnsi="Times New Roman"/>
                <w:sz w:val="24"/>
              </w:rPr>
              <w:t xml:space="preserve"> o któ</w:t>
            </w:r>
            <w:r>
              <w:rPr>
                <w:rFonts w:ascii="Times New Roman" w:hAnsi="Times New Roman"/>
                <w:sz w:val="24"/>
              </w:rPr>
              <w:t>rych mowa</w:t>
            </w:r>
            <w:r w:rsidR="00FC4B69">
              <w:rPr>
                <w:rFonts w:ascii="Times New Roman" w:hAnsi="Times New Roman"/>
                <w:sz w:val="24"/>
              </w:rPr>
              <w:t xml:space="preserve"> w art</w:t>
            </w:r>
            <w:r>
              <w:rPr>
                <w:rFonts w:ascii="Times New Roman" w:hAnsi="Times New Roman"/>
                <w:sz w:val="24"/>
              </w:rPr>
              <w:t xml:space="preserve">. 242 ust.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wie</w:t>
            </w:r>
            <w:r>
              <w:rPr>
                <w:rFonts w:ascii="Times New Roman" w:hAnsi="Times New Roman"/>
                <w:sz w:val="24"/>
              </w:rPr>
              <w:t>rszach 0160</w:t>
            </w:r>
            <w:r w:rsidR="00FC4B69">
              <w:rPr>
                <w:rFonts w:ascii="Times New Roman" w:hAnsi="Times New Roman"/>
                <w:sz w:val="24"/>
              </w:rPr>
              <w:t xml:space="preserve"> i 0</w:t>
            </w:r>
            <w:r>
              <w:rPr>
                <w:rFonts w:ascii="Times New Roman" w:hAnsi="Times New Roman"/>
                <w:sz w:val="24"/>
              </w:rPr>
              <w:t>180. Takie same odniesienia prawne stosuje się do wierszy 0100–0130.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22E92E04"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w:t>
            </w:r>
            <w:r w:rsidR="00FC4B69">
              <w:rPr>
                <w:rFonts w:ascii="Times New Roman" w:hAnsi="Times New Roman"/>
                <w:sz w:val="24"/>
              </w:rPr>
              <w:t xml:space="preserve"> i 0</w:t>
            </w:r>
            <w:r>
              <w:rPr>
                <w:rFonts w:ascii="Times New Roman" w:hAnsi="Times New Roman"/>
                <w:sz w:val="24"/>
              </w:rPr>
              <w:t>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KWALIFIKUJĄCE SIĘ DO ZRÓŻNICOWANEGO TRAKTOWANIA KAPITAŁU</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00B9E561"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Całkowita kwota pozycji sekurytyzacyjnych, które spełniają kryteria art. 243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lub, wyłącznie</w:t>
            </w:r>
            <w:r w:rsidR="00FC4B69">
              <w:rPr>
                <w:rFonts w:ascii="Times New Roman" w:hAnsi="Times New Roman"/>
                <w:sz w:val="24"/>
              </w:rPr>
              <w:t xml:space="preserve"> w prz</w:t>
            </w:r>
            <w:r>
              <w:rPr>
                <w:rFonts w:ascii="Times New Roman" w:hAnsi="Times New Roman"/>
                <w:sz w:val="24"/>
              </w:rPr>
              <w:t xml:space="preserve">ypadku jednostek inicjujących,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70 </w:t>
            </w:r>
            <w:r w:rsidRPr="00FC4B69">
              <w:rPr>
                <w:rFonts w:ascii="Times New Roman" w:hAnsi="Times New Roman"/>
                <w:sz w:val="24"/>
              </w:rPr>
              <w:t>lub</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94c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a w zwi</w:t>
            </w:r>
            <w:r>
              <w:rPr>
                <w:rFonts w:ascii="Times New Roman" w:hAnsi="Times New Roman"/>
                <w:sz w:val="24"/>
              </w:rPr>
              <w:t>ązku</w:t>
            </w:r>
            <w:r w:rsidR="00FC4B69">
              <w:rPr>
                <w:rFonts w:ascii="Times New Roman" w:hAnsi="Times New Roman"/>
                <w:sz w:val="24"/>
              </w:rPr>
              <w:t xml:space="preserve"> z tym</w:t>
            </w:r>
            <w:r>
              <w:rPr>
                <w:rFonts w:ascii="Times New Roman" w:hAnsi="Times New Roman"/>
                <w:sz w:val="24"/>
              </w:rPr>
              <w:t xml:space="preserve"> kwalifikują się do zróżnicowanego traktowania kapitału.</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INWESTOR: EKSPOZYCJE CAŁKOWITE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0975874"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Wiersz ten zawiera podsumowanie informacji na temat pozycji bilansowych</w:t>
            </w:r>
            <w:r w:rsidR="00FC4B69">
              <w:rPr>
                <w:rStyle w:val="FormatvorlageInstructionsTabelleText"/>
                <w:rFonts w:ascii="Times New Roman" w:hAnsi="Times New Roman"/>
                <w:sz w:val="24"/>
              </w:rPr>
              <w:t xml:space="preserve"> i poz</w:t>
            </w:r>
            <w:r>
              <w:rPr>
                <w:rStyle w:val="FormatvorlageInstructionsTabelleText"/>
                <w:rFonts w:ascii="Times New Roman" w:hAnsi="Times New Roman"/>
                <w:sz w:val="24"/>
              </w:rPr>
              <w:t>abilansowych oraz instrumentów pochodnych tych pozycji sekurytyzacyjnych</w:t>
            </w:r>
            <w:r>
              <w:rPr>
                <w:rFonts w:ascii="Times New Roman" w:hAnsi="Times New Roman"/>
                <w:sz w:val="24"/>
              </w:rPr>
              <w:t xml:space="preserve"> oraz </w:t>
            </w:r>
            <w:r>
              <w:rPr>
                <w:rStyle w:val="FormatvorlageInstructionsTabelleText"/>
                <w:rFonts w:ascii="Times New Roman" w:hAnsi="Times New Roman"/>
                <w:sz w:val="24"/>
              </w:rPr>
              <w:t>resekurytyzacyjnych,</w:t>
            </w:r>
            <w:r w:rsidR="00FC4B69">
              <w:rPr>
                <w:rStyle w:val="FormatvorlageInstructionsTabelleText"/>
                <w:rFonts w:ascii="Times New Roman" w:hAnsi="Times New Roman"/>
                <w:sz w:val="24"/>
              </w:rPr>
              <w:t xml:space="preserve"> w odn</w:t>
            </w:r>
            <w:r>
              <w:rPr>
                <w:rStyle w:val="FormatvorlageInstructionsTabelleText"/>
                <w:rFonts w:ascii="Times New Roman" w:hAnsi="Times New Roman"/>
                <w:sz w:val="24"/>
              </w:rPr>
              <w:t xml:space="preserve">iesieniu do których instytucja pełni rolę inwestora.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04EADE9D"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Dla celów tego wzoru inwestora rozumie się jako instytucję, która posiada pozycje sekurytyzacyjne</w:t>
            </w:r>
            <w:r w:rsidR="00FC4B69">
              <w:rPr>
                <w:rStyle w:val="FormatvorlageInstructionsTabelleText"/>
                <w:rFonts w:ascii="Times New Roman" w:hAnsi="Times New Roman"/>
                <w:sz w:val="24"/>
              </w:rPr>
              <w:t xml:space="preserve"> w tra</w:t>
            </w:r>
            <w:r>
              <w:rPr>
                <w:rStyle w:val="FormatvorlageInstructionsTabelleText"/>
                <w:rFonts w:ascii="Times New Roman" w:hAnsi="Times New Roman"/>
                <w:sz w:val="24"/>
              </w:rPr>
              <w:t>nsakcji sekurytyzacyjnej,</w:t>
            </w:r>
            <w:r w:rsidR="00FC4B69">
              <w:rPr>
                <w:rStyle w:val="FormatvorlageInstructionsTabelleText"/>
                <w:rFonts w:ascii="Times New Roman" w:hAnsi="Times New Roman"/>
                <w:sz w:val="24"/>
              </w:rPr>
              <w:t xml:space="preserve"> w któ</w:t>
            </w:r>
            <w:r>
              <w:rPr>
                <w:rStyle w:val="FormatvorlageInstructionsTabelleText"/>
                <w:rFonts w:ascii="Times New Roman" w:hAnsi="Times New Roman"/>
                <w:sz w:val="24"/>
              </w:rPr>
              <w:t>rej nie jest ani jednostką inicjującą, ani sponsorującą.</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JEDNOSTKA SPONSORUJĄCA: EKSPOZYCJE CAŁKOWITE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4F52D4B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Wiersz ten zawiera podsumowanie informacji na temat pozycji bilansowych</w:t>
            </w:r>
            <w:r w:rsidR="00FC4B69">
              <w:rPr>
                <w:rFonts w:ascii="Times New Roman" w:hAnsi="Times New Roman"/>
                <w:sz w:val="24"/>
              </w:rPr>
              <w:t xml:space="preserve"> i poz</w:t>
            </w:r>
            <w:r>
              <w:rPr>
                <w:rFonts w:ascii="Times New Roman" w:hAnsi="Times New Roman"/>
                <w:sz w:val="24"/>
              </w:rPr>
              <w:t>abilansowych oraz instrumentów pochodnych tych pozycji sekurytyzacyjnych oraz resekurytyzacyjnych,</w:t>
            </w:r>
            <w:r w:rsidR="00FC4B69">
              <w:rPr>
                <w:rFonts w:ascii="Times New Roman" w:hAnsi="Times New Roman"/>
                <w:sz w:val="24"/>
              </w:rPr>
              <w:t xml:space="preserve"> w odn</w:t>
            </w:r>
            <w:r>
              <w:rPr>
                <w:rFonts w:ascii="Times New Roman" w:hAnsi="Times New Roman"/>
                <w:sz w:val="24"/>
              </w:rPr>
              <w:t xml:space="preserve">iesieniu do których </w:t>
            </w:r>
            <w:r>
              <w:rPr>
                <w:rFonts w:ascii="Times New Roman" w:hAnsi="Times New Roman"/>
                <w:sz w:val="24"/>
              </w:rPr>
              <w:lastRenderedPageBreak/>
              <w:t>instytucja pełni rolę jednostki sponsorującej, zgodnie</w:t>
            </w:r>
            <w:r w:rsidR="00FC4B69">
              <w:rPr>
                <w:rFonts w:ascii="Times New Roman" w:hAnsi="Times New Roman"/>
                <w:sz w:val="24"/>
              </w:rPr>
              <w:t xml:space="preserve"> z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Jeżeli jednostka sponsorująca sekurytyzuje również swoje aktywa własne, wypełnia wiersze przeznaczone dla jednostki inicjującej, przedstawiając informacje dotyczące sekurytyzowanych przez siebie aktywów własnych.</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PODZIAŁ POZOSTAJĄCYCH POZYCJI ZGODNIE Z CQS W FAZIE WSTĘPNEJ:</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21DB40B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wierszach tych gromadzi się informacje na temat pozostających pozycji (w dniu sprawozdawczym),</w:t>
            </w:r>
            <w:r w:rsidR="00FC4B69">
              <w:rPr>
                <w:rFonts w:ascii="Times New Roman" w:hAnsi="Times New Roman"/>
                <w:sz w:val="24"/>
              </w:rPr>
              <w:t xml:space="preserve"> w odn</w:t>
            </w:r>
            <w:r>
              <w:rPr>
                <w:rFonts w:ascii="Times New Roman" w:hAnsi="Times New Roman"/>
                <w:sz w:val="24"/>
              </w:rPr>
              <w:t>iesieniu do których</w:t>
            </w:r>
            <w:r w:rsidR="00FC4B69">
              <w:rPr>
                <w:rFonts w:ascii="Times New Roman" w:hAnsi="Times New Roman"/>
                <w:sz w:val="24"/>
              </w:rPr>
              <w:t xml:space="preserve"> w dni</w:t>
            </w:r>
            <w:r>
              <w:rPr>
                <w:rFonts w:ascii="Times New Roman" w:hAnsi="Times New Roman"/>
                <w:sz w:val="24"/>
              </w:rPr>
              <w:t>u powstania (w fazie wstępnej) wyznaczono stopień jakości kredytowej (jak określono</w:t>
            </w:r>
            <w:r w:rsidR="00FC4B69">
              <w:rPr>
                <w:rFonts w:ascii="Times New Roman" w:hAnsi="Times New Roman"/>
                <w:sz w:val="24"/>
              </w:rPr>
              <w:t xml:space="preserve"> w tab</w:t>
            </w:r>
            <w:r>
              <w:rPr>
                <w:rFonts w:ascii="Times New Roman" w:hAnsi="Times New Roman"/>
                <w:sz w:val="24"/>
              </w:rPr>
              <w:t>eli 1</w:t>
            </w:r>
            <w:r w:rsidR="00FC4B69">
              <w:rPr>
                <w:rFonts w:ascii="Times New Roman" w:hAnsi="Times New Roman"/>
                <w:sz w:val="24"/>
              </w:rPr>
              <w:t xml:space="preserve"> i 2</w:t>
            </w:r>
            <w:r>
              <w:rPr>
                <w:rFonts w:ascii="Times New Roman" w:hAnsi="Times New Roman"/>
                <w:sz w:val="24"/>
              </w:rPr>
              <w:t> w art. 263 oraz</w:t>
            </w:r>
            <w:r w:rsidR="00FC4B69">
              <w:rPr>
                <w:rFonts w:ascii="Times New Roman" w:hAnsi="Times New Roman"/>
                <w:sz w:val="24"/>
              </w:rPr>
              <w:t xml:space="preserve"> w tab</w:t>
            </w:r>
            <w:r>
              <w:rPr>
                <w:rFonts w:ascii="Times New Roman" w:hAnsi="Times New Roman"/>
                <w:sz w:val="24"/>
              </w:rPr>
              <w:t>elach 3</w:t>
            </w:r>
            <w:r w:rsidR="00FC4B69">
              <w:rPr>
                <w:rFonts w:ascii="Times New Roman" w:hAnsi="Times New Roman"/>
                <w:sz w:val="24"/>
              </w:rPr>
              <w:t xml:space="preserve"> i 4</w:t>
            </w:r>
            <w:r>
              <w:rPr>
                <w:rFonts w:ascii="Times New Roman" w:hAnsi="Times New Roman"/>
                <w:sz w:val="24"/>
              </w:rPr>
              <w:t xml:space="preserve"> w art. 264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W odn</w:t>
            </w:r>
            <w:r>
              <w:rPr>
                <w:rFonts w:ascii="Times New Roman" w:hAnsi="Times New Roman"/>
                <w:sz w:val="24"/>
              </w:rPr>
              <w:t>iesieniu do pozycji sekurytyzacyjnych traktowanych</w:t>
            </w:r>
            <w:r w:rsidR="00FC4B69">
              <w:rPr>
                <w:rFonts w:ascii="Times New Roman" w:hAnsi="Times New Roman"/>
                <w:sz w:val="24"/>
              </w:rPr>
              <w:t xml:space="preserve"> w ram</w:t>
            </w:r>
            <w:r>
              <w:rPr>
                <w:rFonts w:ascii="Times New Roman" w:hAnsi="Times New Roman"/>
                <w:sz w:val="24"/>
              </w:rPr>
              <w:t>ach metody wewnętrznych oszacowań, stopień jakości kredytowej stanowi stopień przypisywany</w:t>
            </w:r>
            <w:r w:rsidR="00FC4B69">
              <w:rPr>
                <w:rFonts w:ascii="Times New Roman" w:hAnsi="Times New Roman"/>
                <w:sz w:val="24"/>
              </w:rPr>
              <w:t xml:space="preserve"> w chw</w:t>
            </w:r>
            <w:r>
              <w:rPr>
                <w:rFonts w:ascii="Times New Roman" w:hAnsi="Times New Roman"/>
                <w:sz w:val="24"/>
              </w:rPr>
              <w:t>ili przyznawania po raz pierwszy ratingu dotyczącego metody wewnętrznych oszacowań</w:t>
            </w:r>
            <w:r w:rsidR="00FC4B69">
              <w:rPr>
                <w:rFonts w:ascii="Times New Roman" w:hAnsi="Times New Roman"/>
                <w:sz w:val="24"/>
              </w:rPr>
              <w:t>. W prz</w:t>
            </w:r>
            <w:r>
              <w:rPr>
                <w:rFonts w:ascii="Times New Roman" w:hAnsi="Times New Roman"/>
                <w:sz w:val="24"/>
              </w:rPr>
              <w:t>ypadku braku tych informacji zgłasza się najwcześniejsze dostępne dane równoważne stopniom jakości kredytowej.</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4AF7132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Wiersze te zgłasza się tylko</w:t>
            </w:r>
            <w:r w:rsidR="00FC4B69">
              <w:rPr>
                <w:rFonts w:ascii="Times New Roman" w:hAnsi="Times New Roman"/>
                <w:sz w:val="24"/>
              </w:rPr>
              <w:t xml:space="preserve"> w odn</w:t>
            </w:r>
            <w:r>
              <w:rPr>
                <w:rFonts w:ascii="Times New Roman" w:hAnsi="Times New Roman"/>
                <w:sz w:val="24"/>
              </w:rPr>
              <w:t>iesieniu do kolumn 0180–0210, 0280, 0350–0640, 0700–0720, 0740, 0760–0830 oraz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tab/>
      </w:r>
      <w:bookmarkEnd w:id="5"/>
      <w:r>
        <w:rPr>
          <w:rFonts w:ascii="Times New Roman" w:hAnsi="Times New Roman"/>
          <w:sz w:val="24"/>
        </w:rPr>
        <w:t>Szczegółowe informacje na temat sekurytyzacji</w:t>
      </w:r>
      <w:bookmarkEnd w:id="6"/>
      <w:bookmarkEnd w:id="7"/>
      <w:r>
        <w:rPr>
          <w:rFonts w:ascii="Times New Roman" w:hAnsi="Times New Roman"/>
          <w:sz w:val="24"/>
        </w:rPr>
        <w:t xml:space="preserve"> (SEC SZCZEGÓŁY)</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tab/>
      </w:r>
      <w:r>
        <w:rPr>
          <w:rFonts w:ascii="Times New Roman" w:hAnsi="Times New Roman"/>
          <w:sz w:val="24"/>
          <w:u w:val="none"/>
        </w:rPr>
        <w:t>Zakres stosowania wzoru SEC SZCZEGÓŁY</w:t>
      </w:r>
      <w:bookmarkEnd w:id="10"/>
      <w:bookmarkEnd w:id="11"/>
      <w:bookmarkEnd w:id="12"/>
      <w:bookmarkEnd w:id="13"/>
    </w:p>
    <w:bookmarkStart w:id="14" w:name="_Toc310415048"/>
    <w:bookmarkStart w:id="15" w:name="_Toc360188383"/>
    <w:bookmarkStart w:id="16" w:name="_Toc473560934"/>
    <w:p w14:paraId="6C7E4DDB" w14:textId="0E513101"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W tych wzorach gromadzone są informacje na poziomie poszczególnych transakcji (w przeciwieństwie do informacji zagregowanych zgłaszanych we wzorach CR SEC, MKR SA SEC, MKR SA CTP, CA1 oraz CA2) dotyczące wszystkich sekurytyzacji,</w:t>
      </w:r>
      <w:r w:rsidR="00FC4B69">
        <w:t xml:space="preserve"> w któ</w:t>
      </w:r>
      <w:r>
        <w:t>re zaangażowana jest instytucja sprawozdająca. Zgłasza się główne cechy każdej sekurytyzacji, takie jak charakter puli bazowej</w:t>
      </w:r>
      <w:r w:rsidR="00FC4B69">
        <w:t xml:space="preserve"> i wym</w:t>
      </w:r>
      <w:r>
        <w:t>ogi</w:t>
      </w:r>
      <w:r w:rsidR="00FC4B69">
        <w:t xml:space="preserve"> w zak</w:t>
      </w:r>
      <w:r>
        <w:t xml:space="preserve">resie funduszy własnych. </w:t>
      </w:r>
    </w:p>
    <w:p w14:paraId="447DAF6A" w14:textId="2F9FC1A4"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Wzory te zgłasza się</w:t>
      </w:r>
      <w:r w:rsidR="00FC4B69">
        <w:t xml:space="preserve"> w odn</w:t>
      </w:r>
      <w:r>
        <w:t>iesieniu do:</w:t>
      </w:r>
    </w:p>
    <w:p w14:paraId="24BF3BDE" w14:textId="1A00BE2A" w:rsidR="00933ADA" w:rsidRPr="002A677E" w:rsidRDefault="00933ADA" w:rsidP="00933ADA">
      <w:pPr>
        <w:pStyle w:val="InstructionsText2"/>
        <w:numPr>
          <w:ilvl w:val="0"/>
          <w:numId w:val="0"/>
        </w:numPr>
        <w:ind w:left="993"/>
      </w:pPr>
      <w:r>
        <w:t>a.</w:t>
      </w:r>
      <w:r>
        <w:tab/>
        <w:t>sekurytyzacji utworzonych / sponsorowanych przez instytucję sprawozdającą,</w:t>
      </w:r>
      <w:r w:rsidR="00FC4B69">
        <w:t xml:space="preserve"> w tym w prz</w:t>
      </w:r>
      <w:r>
        <w:t>ypadku gdy nie posiada ona żadnej pozycji</w:t>
      </w:r>
      <w:r w:rsidR="00FC4B69">
        <w:t xml:space="preserve"> w dan</w:t>
      </w:r>
      <w:r>
        <w:t>ej sekurytyzacji</w:t>
      </w:r>
      <w:r w:rsidR="00FC4B69">
        <w:t>. W prz</w:t>
      </w:r>
      <w:r>
        <w:t>ypadkach,</w:t>
      </w:r>
      <w:r w:rsidR="00FC4B69">
        <w:t xml:space="preserve"> w któ</w:t>
      </w:r>
      <w:r>
        <w:t>rych instytucja posiada co najmniej jedną pozycję</w:t>
      </w:r>
      <w:r w:rsidR="00FC4B69">
        <w:t xml:space="preserve"> w dan</w:t>
      </w:r>
      <w:r>
        <w:t>ej sekurytyzacji, niezależnie od tego, czy nastąpiło przeniesienie istotnej części ryzyka, instytucje zgłaszają informacje</w:t>
      </w:r>
      <w:r w:rsidR="00FC4B69">
        <w:t xml:space="preserve"> o wsz</w:t>
      </w:r>
      <w:r>
        <w:t>ystkich posiadanych pozycjach (w portfelu bankowym lub handlowym). Posiadane pozycje obejmują pozycje nabyte zgodnie</w:t>
      </w:r>
      <w:r w:rsidR="00FC4B69">
        <w:t xml:space="preserve"> z art</w:t>
      </w:r>
      <w:r>
        <w:t xml:space="preserve">. 6 rozporządzenia (UE) 2017/2402 oraz, gdy zastosowanie ma art. 43 ust. 6 tego rozporządzenia, art. 405 rozporządzenia (UE) </w:t>
      </w:r>
      <w:r w:rsidRPr="00FC4B69">
        <w:t>nr</w:t>
      </w:r>
      <w:r w:rsidR="00FC4B69" w:rsidRPr="00FC4B69">
        <w:t> </w:t>
      </w:r>
      <w:r w:rsidRPr="00FC4B69">
        <w:t>5</w:t>
      </w:r>
      <w:r>
        <w:t>75/2013</w:t>
      </w:r>
      <w:r w:rsidR="00FC4B69">
        <w:t xml:space="preserve"> w wer</w:t>
      </w:r>
      <w:r>
        <w:t>sji mającej zastosowanie</w:t>
      </w:r>
      <w:r w:rsidR="00FC4B69">
        <w:t xml:space="preserve"> w dni</w:t>
      </w:r>
      <w:r>
        <w:t>u 31 grudnia 20</w:t>
      </w:r>
      <w:r w:rsidRPr="00FC4B69">
        <w:t>18</w:t>
      </w:r>
      <w:r w:rsidR="00FC4B69" w:rsidRPr="00FC4B69">
        <w:t> </w:t>
      </w:r>
      <w:r w:rsidRPr="00FC4B69">
        <w:t>r.</w:t>
      </w:r>
    </w:p>
    <w:p w14:paraId="57687CA1" w14:textId="4083143E" w:rsidR="00933ADA" w:rsidRPr="002A677E" w:rsidRDefault="00933ADA" w:rsidP="00933ADA">
      <w:pPr>
        <w:pStyle w:val="InstructionsText2"/>
        <w:numPr>
          <w:ilvl w:val="0"/>
          <w:numId w:val="0"/>
        </w:numPr>
        <w:ind w:left="993"/>
      </w:pPr>
      <w:r>
        <w:t>b.</w:t>
      </w:r>
      <w:r>
        <w:tab/>
        <w:t>sekurytyzacji,</w:t>
      </w:r>
      <w:r w:rsidR="00FC4B69">
        <w:t xml:space="preserve"> w ram</w:t>
      </w:r>
      <w:r>
        <w:t>ach których ostateczne instrumenty bazowe są zobowiązaniami finansowymi wyemitowanymi pierwotnie przez instytucję sprawozdającą,</w:t>
      </w:r>
      <w:r w:rsidR="00FC4B69">
        <w:t xml:space="preserve"> a nas</w:t>
      </w:r>
      <w:r>
        <w:t xml:space="preserve">tępnie (częściowo) nabytymi przez podmiot sekurytyzacyjny. </w:t>
      </w:r>
      <w:r>
        <w:lastRenderedPageBreak/>
        <w:t>Te instrumenty bazowe mogą obejmować obligacje zabezpieczone lub inne zobowiązania i są odpowiednio identyfikowane</w:t>
      </w:r>
      <w:r w:rsidR="00FC4B69">
        <w:t xml:space="preserve"> w kol</w:t>
      </w:r>
      <w:r>
        <w:t>umnie 0160.</w:t>
      </w:r>
    </w:p>
    <w:p w14:paraId="5E82032E" w14:textId="2E3BA860" w:rsidR="00933ADA" w:rsidRPr="002A677E" w:rsidRDefault="00933ADA" w:rsidP="00933ADA">
      <w:pPr>
        <w:pStyle w:val="InstructionsText2"/>
        <w:numPr>
          <w:ilvl w:val="0"/>
          <w:numId w:val="0"/>
        </w:numPr>
        <w:ind w:left="993"/>
      </w:pPr>
      <w:r>
        <w:t>c.</w:t>
      </w:r>
      <w:r>
        <w:tab/>
        <w:t>posiadanych pozycji</w:t>
      </w:r>
      <w:r w:rsidR="00FC4B69">
        <w:t xml:space="preserve"> w sek</w:t>
      </w:r>
      <w:r>
        <w:t>urytyzacjach,</w:t>
      </w:r>
      <w:r w:rsidR="00FC4B69">
        <w:t xml:space="preserve"> w prz</w:t>
      </w:r>
      <w:r>
        <w:t>ypadku gdy instytucja sprawozdająca nie jest ani jednostką inicjującą, ani jednostką sponsorującą (tj. zalicza się do inwestorów</w:t>
      </w:r>
      <w:r w:rsidR="00FC4B69">
        <w:t xml:space="preserve"> i pie</w:t>
      </w:r>
      <w:r>
        <w:t>rwotnych kredytodawców).</w:t>
      </w:r>
    </w:p>
    <w:p w14:paraId="3CC0DB9F" w14:textId="2D774462" w:rsidR="00933ADA" w:rsidRPr="002A677E" w:rsidRDefault="00933ADA" w:rsidP="00933ADA">
      <w:pPr>
        <w:pStyle w:val="InstructionsText2"/>
        <w:numPr>
          <w:ilvl w:val="0"/>
          <w:numId w:val="0"/>
        </w:numPr>
        <w:ind w:left="993"/>
      </w:pPr>
      <w:r>
        <w:t>Wzór C 14.01 zgłasza się wyłącznie</w:t>
      </w:r>
      <w:r w:rsidR="00FC4B69">
        <w:t xml:space="preserve"> w odn</w:t>
      </w:r>
      <w:r>
        <w:t>iesieniu do pozycji sekurytyzacyjnych traktowanych zgodnie</w:t>
      </w:r>
      <w:r w:rsidR="00FC4B69">
        <w:t xml:space="preserve"> z ram</w:t>
      </w:r>
      <w:r>
        <w:t>ami sekurytyzacji.</w:t>
      </w:r>
    </w:p>
    <w:p w14:paraId="4DB6296B" w14:textId="00C09CE6"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Wzory te są zgłaszane przez grupy skonsolidowane</w:t>
      </w:r>
      <w:r w:rsidR="00FC4B69">
        <w:t xml:space="preserve"> i jed</w:t>
      </w:r>
      <w:r>
        <w:t>nostki samodzielne</w:t>
      </w:r>
      <w:r>
        <w:rPr>
          <w:rStyle w:val="FootnoteReference"/>
        </w:rPr>
        <w:footnoteReference w:id="2"/>
      </w:r>
      <w:r>
        <w:t xml:space="preserve"> znajdujące się</w:t>
      </w:r>
      <w:r w:rsidR="00FC4B69">
        <w:t xml:space="preserve"> w tym</w:t>
      </w:r>
      <w:r>
        <w:t xml:space="preserve"> samym państwie,</w:t>
      </w:r>
      <w:r w:rsidR="00FC4B69">
        <w:t xml:space="preserve"> w któ</w:t>
      </w:r>
      <w:r>
        <w:t>rym podlegają wymogom</w:t>
      </w:r>
      <w:r w:rsidR="00FC4B69">
        <w:t xml:space="preserve"> w zak</w:t>
      </w:r>
      <w:r>
        <w:t>resie funduszy własnych, przy czym jednostki należące do grupy</w:t>
      </w:r>
      <w:r w:rsidR="00FC4B69">
        <w:t xml:space="preserve"> w tym</w:t>
      </w:r>
      <w:r>
        <w:t xml:space="preserve"> samym państwie,</w:t>
      </w:r>
      <w:r w:rsidR="00FC4B69">
        <w:t xml:space="preserve"> w któ</w:t>
      </w:r>
      <w:r>
        <w:t>rym podlegają wymogom</w:t>
      </w:r>
      <w:r w:rsidR="00FC4B69">
        <w:t xml:space="preserve"> w zak</w:t>
      </w:r>
      <w:r>
        <w:t>resie funduszy własnych, są zwolnione</w:t>
      </w:r>
      <w:r w:rsidR="00FC4B69">
        <w:t xml:space="preserve"> z obo</w:t>
      </w:r>
      <w:r>
        <w:t>wiązku zgłaszania tych wzorów</w:t>
      </w:r>
      <w:r w:rsidR="00FC4B69">
        <w:t>. W prz</w:t>
      </w:r>
      <w:r>
        <w:t>ypadku sekurytyzacji obejmującej więcej niż jeden podmiot</w:t>
      </w:r>
      <w:r w:rsidR="00FC4B69">
        <w:t xml:space="preserve"> z tej</w:t>
      </w:r>
      <w:r>
        <w:t xml:space="preserve"> samej grupy skonsolidowanej przedstawia się szczegółowy podział według poszczególnych podmiotów. </w:t>
      </w:r>
    </w:p>
    <w:p w14:paraId="605FD2B9" w14:textId="678F7A63"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W związku</w:t>
      </w:r>
      <w:r w:rsidR="00FC4B69">
        <w:t xml:space="preserve"> z art</w:t>
      </w:r>
      <w:r>
        <w:t>. 5 rozporządzenia (UE) 2017/2402, który stanowi, że instytucje inwestujące</w:t>
      </w:r>
      <w:r w:rsidR="00FC4B69">
        <w:t xml:space="preserve"> w poz</w:t>
      </w:r>
      <w:r>
        <w:t>ycje sekurytyzacyjne gromadzą wiele informacji na ich temat</w:t>
      </w:r>
      <w:r w:rsidR="00FC4B69">
        <w:t xml:space="preserve"> w cel</w:t>
      </w:r>
      <w:r>
        <w:t>u zapewnienia zgodności</w:t>
      </w:r>
      <w:r w:rsidR="00FC4B69">
        <w:t xml:space="preserve"> z wym</w:t>
      </w:r>
      <w:r>
        <w:t>ogami należytej staranności, zakres sprawozdawczości tego wzoru stosuje się do inwestorów</w:t>
      </w:r>
      <w:r w:rsidR="00FC4B69">
        <w:t xml:space="preserve"> w ogr</w:t>
      </w:r>
      <w:r>
        <w:t>aniczonym stopniu</w:t>
      </w:r>
      <w:r w:rsidR="00FC4B69">
        <w:t>. W szc</w:t>
      </w:r>
      <w:r>
        <w:t>zególności zgłaszają oni kolumny 0010–0040; 0070–0110; 0160; 0181; 0190; 0223; 0230–0285; 0290–0300; 0310–0470.</w:t>
      </w:r>
    </w:p>
    <w:p w14:paraId="5723EFC7" w14:textId="49A43C9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Instytucje pełniące rolę pierwotnych kredytodawców (i niebędące jednocześnie jednostką inicjującą lub jednostką sponsorującą</w:t>
      </w:r>
      <w:r w:rsidR="00FC4B69">
        <w:t xml:space="preserve"> w ram</w:t>
      </w:r>
      <w:r>
        <w:t>ach tej samej sekurytyzacji) na ogół zgłaszają wzór</w:t>
      </w:r>
      <w:r w:rsidR="00FC4B69">
        <w:t xml:space="preserve"> w tak</w:t>
      </w:r>
      <w:r>
        <w:t>im samym zakresie jak inwestorzy.</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Podział wzoru SEC SZCZEGÓŁY</w:t>
      </w:r>
      <w:bookmarkEnd w:id="17"/>
      <w:bookmarkEnd w:id="18"/>
    </w:p>
    <w:p w14:paraId="13E65FF7" w14:textId="682107C1"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Wzór SEC SZCZEGÓŁY składa się</w:t>
      </w:r>
      <w:r w:rsidR="00FC4B69">
        <w:t xml:space="preserve"> z dwó</w:t>
      </w:r>
      <w:r>
        <w:t>ch wzorów. Wzór SEC SZCZEGÓŁY zawiera ogólny przegląd sekurytyzacji. Wzór SEC SZCZEGÓŁY 2 przedstawia podział pozycji sekurytyzacyjnych podlegających wymogom</w:t>
      </w:r>
      <w:r w:rsidR="00FC4B69">
        <w:t xml:space="preserve"> w zak</w:t>
      </w:r>
      <w:r>
        <w:t>resie funduszy własnych zgodnie</w:t>
      </w:r>
      <w:r w:rsidR="00FC4B69">
        <w:t xml:space="preserve"> z czę</w:t>
      </w:r>
      <w:r>
        <w:t xml:space="preserve">ścią trzecią tytuł II rozdział 5 sekcja 3 rozporządzenia (UE) </w:t>
      </w:r>
      <w:r w:rsidRPr="00FC4B69">
        <w:t>nr</w:t>
      </w:r>
      <w:r w:rsidR="00FC4B69" w:rsidRPr="00FC4B69">
        <w:t> </w:t>
      </w:r>
      <w:r w:rsidRPr="00FC4B69">
        <w:t>5</w:t>
      </w:r>
      <w:r>
        <w:t xml:space="preserve">75/2013 według zastosowanego podejścia. </w:t>
      </w:r>
    </w:p>
    <w:p w14:paraId="07FC3F88" w14:textId="4F98FFBC"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Pozycje sekurytyzacyjne</w:t>
      </w:r>
      <w:r w:rsidR="00FC4B69">
        <w:t xml:space="preserve"> w por</w:t>
      </w:r>
      <w:r>
        <w:t>tfelu handlowym zgłasza się wyłącznie</w:t>
      </w:r>
      <w:r w:rsidR="00FC4B69">
        <w:t xml:space="preserve"> w kol</w:t>
      </w:r>
      <w:r>
        <w:t>umnach 0010-0020, 0420, 0430, 0431, 0432, 0440 oraz 0450-0470</w:t>
      </w:r>
      <w:r w:rsidR="00FC4B69">
        <w:t>. W prz</w:t>
      </w:r>
      <w:r>
        <w:t>ypadku kolumn 0420, 0430</w:t>
      </w:r>
      <w:r w:rsidR="00FC4B69">
        <w:t xml:space="preserve"> i 0</w:t>
      </w:r>
      <w:r>
        <w:t>440 instytucje uwzględniają RW odpowiadający wymogowi pozycji netto</w:t>
      </w:r>
      <w:r w:rsidR="00FC4B69">
        <w:t xml:space="preserve"> w zak</w:t>
      </w:r>
      <w:r>
        <w:t xml:space="preserve">resie funduszy własnych.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Szczegółowe informacje na temat sekurytyzacji (SEC SZCZEGÓŁY)</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KOD WEWNĘTRZNY</w:t>
            </w:r>
          </w:p>
          <w:p w14:paraId="349173E2" w14:textId="77777777" w:rsidR="00933ADA" w:rsidRPr="002A677E" w:rsidRDefault="00933ADA" w:rsidP="00822842">
            <w:pPr>
              <w:spacing w:before="0" w:after="0"/>
              <w:jc w:val="left"/>
              <w:rPr>
                <w:rFonts w:ascii="Times New Roman" w:hAnsi="Times New Roman"/>
                <w:sz w:val="24"/>
              </w:rPr>
            </w:pPr>
          </w:p>
          <w:p w14:paraId="4B177CEB" w14:textId="555DC15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Wewnętrzny (alfanumeryczny) kod stosowany przez instytucję</w:t>
            </w:r>
            <w:r w:rsidR="00FC4B69">
              <w:rPr>
                <w:rFonts w:ascii="Times New Roman" w:hAnsi="Times New Roman"/>
                <w:sz w:val="24"/>
              </w:rPr>
              <w:t xml:space="preserve"> w cel</w:t>
            </w:r>
            <w:r>
              <w:rPr>
                <w:rFonts w:ascii="Times New Roman" w:hAnsi="Times New Roman"/>
                <w:sz w:val="24"/>
              </w:rPr>
              <w:t>u identyfikacji sekurytyzacji.</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1F8D03E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Kod wewnętrzny związany jest</w:t>
            </w:r>
            <w:r w:rsidR="00FC4B69">
              <w:rPr>
                <w:rFonts w:ascii="Times New Roman" w:hAnsi="Times New Roman"/>
                <w:sz w:val="24"/>
              </w:rPr>
              <w:t xml:space="preserve"> z ide</w:t>
            </w:r>
            <w:r>
              <w:rPr>
                <w:rFonts w:ascii="Times New Roman" w:hAnsi="Times New Roman"/>
                <w:sz w:val="24"/>
              </w:rPr>
              <w:t>ntyfikatorem transakcji sekurytyzacji.</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NIEPOWTARZALNY IDENTYFIKATOR</w:t>
            </w:r>
          </w:p>
          <w:p w14:paraId="6D2F0987" w14:textId="77777777" w:rsidR="00933ADA" w:rsidRDefault="00933ADA" w:rsidP="00822842">
            <w:pPr>
              <w:spacing w:before="0" w:after="0"/>
              <w:jc w:val="left"/>
              <w:rPr>
                <w:rFonts w:ascii="Times New Roman" w:hAnsi="Times New Roman"/>
                <w:b/>
                <w:sz w:val="24"/>
                <w:u w:val="single"/>
              </w:rPr>
            </w:pPr>
          </w:p>
          <w:p w14:paraId="408D6CB0" w14:textId="7857F6CC" w:rsidR="00933ADA" w:rsidRPr="003A06D5" w:rsidRDefault="00933ADA" w:rsidP="00822842">
            <w:pPr>
              <w:spacing w:before="0" w:after="0"/>
              <w:jc w:val="left"/>
              <w:rPr>
                <w:rFonts w:ascii="Times New Roman" w:hAnsi="Times New Roman"/>
                <w:sz w:val="24"/>
              </w:rPr>
            </w:pPr>
            <w:r>
              <w:rPr>
                <w:rFonts w:ascii="Times New Roman" w:hAnsi="Times New Roman"/>
                <w:sz w:val="24"/>
              </w:rPr>
              <w:t>W przypadku sekurytyzacji wyemitowanych</w:t>
            </w:r>
            <w:r w:rsidR="00FC4B69">
              <w:rPr>
                <w:rFonts w:ascii="Times New Roman" w:hAnsi="Times New Roman"/>
                <w:sz w:val="24"/>
              </w:rPr>
              <w:t xml:space="preserve"> w dni</w:t>
            </w:r>
            <w:r>
              <w:rPr>
                <w:rFonts w:ascii="Times New Roman" w:hAnsi="Times New Roman"/>
                <w:sz w:val="24"/>
              </w:rPr>
              <w:t>u 1 stycznia 20</w:t>
            </w:r>
            <w:r w:rsidRPr="00FC4B69">
              <w:rPr>
                <w:rFonts w:ascii="Times New Roman" w:hAnsi="Times New Roman"/>
                <w:sz w:val="24"/>
              </w:rPr>
              <w:t>19</w:t>
            </w:r>
            <w:r w:rsidR="00FC4B69" w:rsidRPr="00FC4B69">
              <w:rPr>
                <w:rFonts w:ascii="Times New Roman" w:hAnsi="Times New Roman"/>
                <w:sz w:val="24"/>
              </w:rPr>
              <w:t> </w:t>
            </w:r>
            <w:r w:rsidRPr="00FC4B69">
              <w:rPr>
                <w:rFonts w:ascii="Times New Roman" w:hAnsi="Times New Roman"/>
                <w:sz w:val="24"/>
              </w:rPr>
              <w:t>r.</w:t>
            </w:r>
            <w:r>
              <w:rPr>
                <w:rFonts w:ascii="Times New Roman" w:hAnsi="Times New Roman"/>
                <w:sz w:val="24"/>
              </w:rPr>
              <w:t xml:space="preserve"> lub później instytucje zgłaszają niepowtarzalny identyfikator zdefiniowany</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rozporządzenia delegowanego Komisji (UE) 2020/1224.</w:t>
            </w:r>
          </w:p>
          <w:p w14:paraId="2AED1FA3" w14:textId="27F8CFE3" w:rsidR="003A06D5" w:rsidRPr="003A06D5" w:rsidRDefault="003A06D5" w:rsidP="00822842">
            <w:pPr>
              <w:spacing w:before="0" w:after="0"/>
              <w:jc w:val="left"/>
              <w:rPr>
                <w:rFonts w:ascii="Times New Roman" w:hAnsi="Times New Roman"/>
                <w:sz w:val="24"/>
              </w:rPr>
            </w:pPr>
            <w:r>
              <w:rPr>
                <w:rFonts w:ascii="Times New Roman" w:hAnsi="Times New Roman"/>
                <w:sz w:val="24"/>
              </w:rPr>
              <w:t>Niepowtarzalny identyfikator zgłasza się zarówno</w:t>
            </w:r>
            <w:r w:rsidR="00FC4B69">
              <w:rPr>
                <w:rFonts w:ascii="Times New Roman" w:hAnsi="Times New Roman"/>
                <w:sz w:val="24"/>
              </w:rPr>
              <w:t xml:space="preserve"> w odn</w:t>
            </w:r>
            <w:r>
              <w:rPr>
                <w:rFonts w:ascii="Times New Roman" w:hAnsi="Times New Roman"/>
                <w:sz w:val="24"/>
              </w:rPr>
              <w:t>iesieniu do pozycji jednostki inicjującej lub jednostki sponsorującej, jak</w:t>
            </w:r>
            <w:r w:rsidR="00FC4B69">
              <w:rPr>
                <w:rFonts w:ascii="Times New Roman" w:hAnsi="Times New Roman"/>
                <w:sz w:val="24"/>
              </w:rPr>
              <w:t xml:space="preserve"> i poz</w:t>
            </w:r>
            <w:r>
              <w:rPr>
                <w:rFonts w:ascii="Times New Roman" w:hAnsi="Times New Roman"/>
                <w:sz w:val="24"/>
              </w:rPr>
              <w:t>ycji inwestora,</w:t>
            </w:r>
            <w:r w:rsidR="00FC4B69">
              <w:rPr>
                <w:rFonts w:ascii="Times New Roman" w:hAnsi="Times New Roman"/>
                <w:sz w:val="24"/>
              </w:rPr>
              <w:t xml:space="preserve"> i nie</w:t>
            </w:r>
            <w:r>
              <w:rPr>
                <w:rFonts w:ascii="Times New Roman" w:hAnsi="Times New Roman"/>
                <w:sz w:val="24"/>
              </w:rPr>
              <w:t xml:space="preserve"> przewiduje się, że ulegnie on zmianie</w:t>
            </w:r>
            <w:r w:rsidR="00FC4B69">
              <w:rPr>
                <w:rFonts w:ascii="Times New Roman" w:hAnsi="Times New Roman"/>
                <w:sz w:val="24"/>
              </w:rPr>
              <w:t xml:space="preserve"> w zal</w:t>
            </w:r>
            <w:r>
              <w:rPr>
                <w:rFonts w:ascii="Times New Roman" w:hAnsi="Times New Roman"/>
                <w:sz w:val="24"/>
              </w:rPr>
              <w:t>eżności od poziomu sprawozdawczości (poziom skonsolidowany lub podgrupy).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identyfikator podmiotu prawnego (pierwsza pozycja niepowtarzalnego identyfikatora) jest ściśle zdefiniowany jako identyfikator podmiotu prawnego „jednostki sprawozdawczej”,</w:t>
            </w:r>
            <w:r w:rsidR="00FC4B69">
              <w:rPr>
                <w:rFonts w:ascii="Times New Roman" w:hAnsi="Times New Roman"/>
                <w:sz w:val="24"/>
              </w:rPr>
              <w:t xml:space="preserve"> o któ</w:t>
            </w:r>
            <w:r>
              <w:rPr>
                <w:rFonts w:ascii="Times New Roman" w:hAnsi="Times New Roman"/>
                <w:sz w:val="24"/>
              </w:rPr>
              <w:t>rej mowa</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7</w:t>
            </w:r>
            <w:r>
              <w:rPr>
                <w:rFonts w:ascii="Times New Roman" w:hAnsi="Times New Roman"/>
                <w:sz w:val="24"/>
              </w:rPr>
              <w:t xml:space="preserv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rozporządzenia (UE) 2017/2402</w:t>
            </w:r>
            <w:r w:rsidR="00FC4B69">
              <w:rPr>
                <w:rFonts w:ascii="Times New Roman" w:hAnsi="Times New Roman"/>
                <w:sz w:val="24"/>
              </w:rPr>
              <w:t>. W nie</w:t>
            </w:r>
            <w:r>
              <w:rPr>
                <w:rFonts w:ascii="Times New Roman" w:hAnsi="Times New Roman"/>
                <w:sz w:val="24"/>
              </w:rPr>
              <w:t>których przypadkach jest to instytucja zgłaszająca wzory COREP i „jednostka sprawozdawcza” (np. jeżeli jest jednostką inicjującą lub jednostką sponsorującą),</w:t>
            </w:r>
            <w:r w:rsidR="00FC4B69">
              <w:rPr>
                <w:rFonts w:ascii="Times New Roman" w:hAnsi="Times New Roman"/>
                <w:sz w:val="24"/>
              </w:rPr>
              <w:t xml:space="preserve"> w nie</w:t>
            </w:r>
            <w:r>
              <w:rPr>
                <w:rFonts w:ascii="Times New Roman" w:hAnsi="Times New Roman"/>
                <w:sz w:val="24"/>
              </w:rPr>
              <w:t>których przypadkach tak nie jest.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delegowanego Komisji (UE) 2020/1224 niepowtarzalny identyfikator nie może zostać zmieniony przez jednostkę sprawozdawczą, co oznacza, że nie można go zmienić do celów sprawozdawczości we wzorach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SEKURYTYZACJI</w:t>
            </w:r>
          </w:p>
          <w:p w14:paraId="715E4B5B" w14:textId="77777777" w:rsidR="00933ADA" w:rsidRPr="002A677E" w:rsidRDefault="00933ADA" w:rsidP="00822842">
            <w:pPr>
              <w:spacing w:before="0" w:after="0"/>
              <w:jc w:val="left"/>
              <w:rPr>
                <w:rFonts w:ascii="Times New Roman" w:hAnsi="Times New Roman"/>
                <w:sz w:val="24"/>
              </w:rPr>
            </w:pPr>
          </w:p>
          <w:p w14:paraId="497DC5CA" w14:textId="07834AA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Kod używany do celów prawnej rejestracji transakcji sekurytyzacji lub, jeśli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New Roman"/>
                <w:sz w:val="24"/>
              </w:rPr>
              <w:t>ach instytucji</w:t>
            </w:r>
            <w:r w:rsidR="00FC4B69">
              <w:rPr>
                <w:rFonts w:ascii="Times New Roman" w:hAnsi="Times New Roman"/>
                <w:sz w:val="24"/>
              </w:rPr>
              <w:t xml:space="preserve"> w prz</w:t>
            </w:r>
            <w:r>
              <w:rPr>
                <w:rFonts w:ascii="Times New Roman" w:hAnsi="Times New Roman"/>
                <w:sz w:val="24"/>
              </w:rPr>
              <w:t xml:space="preserve">ypadku sekurytyzacji wewnętrznej lub prywatnej.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6F785B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gdy dostępny jest Międzynarodowy Numer Identyfikacyjny Papierów Wartościowych (ISIN; np.</w:t>
            </w:r>
            <w:r w:rsidR="00FC4B69">
              <w:rPr>
                <w:rFonts w:ascii="Times New Roman" w:hAnsi="Times New Roman"/>
                <w:sz w:val="24"/>
              </w:rPr>
              <w:t xml:space="preserve"> w odn</w:t>
            </w:r>
            <w:r>
              <w:rPr>
                <w:rFonts w:ascii="Times New Roman" w:hAnsi="Times New Roman"/>
                <w:sz w:val="24"/>
              </w:rPr>
              <w:t>iesieniu do transakcji publicznych),</w:t>
            </w:r>
            <w:r w:rsidR="00FC4B69">
              <w:rPr>
                <w:rFonts w:ascii="Times New Roman" w:hAnsi="Times New Roman"/>
                <w:sz w:val="24"/>
              </w:rPr>
              <w:t xml:space="preserve"> w kol</w:t>
            </w:r>
            <w:r>
              <w:rPr>
                <w:rFonts w:ascii="Times New Roman" w:hAnsi="Times New Roman"/>
                <w:sz w:val="24"/>
              </w:rPr>
              <w:t>umnie tej zgłasza się znaki wspólne dla wszystkich transz sekurytyzacyjnych.</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SEKURYTYZACJA WEWNĄTRZGRUPOWA, PRYWATNA LUB PUBLICZNA?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W tej kolumnie identyfikuje się, czy sekurytyzacja jest sekurytyzacją wewnątrzgrupową, prywatną lub publiczną.</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226DFDD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tępujących informacji:</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sekurytyzację prywatną;</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sekurytyzację wewnątrzgrupową;</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sekurytyzację publiczną.</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ROLA INSTYTUCJI (JEDNOSTKA INICJUJĄCA / JEDNOSTKA SPONSORUJĄCA / PIERWOTNY KREDYTODAWCA / INWESTOR)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4CEC54D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 xml:space="preserve">tępujących informacji: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jednostka inicjująca;</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jednostka sponsorująca;</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inwestor;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pierwotny kredytodawca.</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26E203E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Jednostka inicjująca zdefiniowana</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i jed</w:t>
            </w:r>
            <w:r>
              <w:rPr>
                <w:rFonts w:ascii="Times New Roman" w:hAnsi="Times New Roman"/>
                <w:sz w:val="24"/>
              </w:rPr>
              <w:t>nostka sponsorująca zdefiniowana</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4 tego rozporządzenia. Zakłada się, że inwestorami są te instytucje, do których stosują się przepisy art. 5 rozporządzenia (UE) 2017/2402</w:t>
            </w:r>
            <w:r w:rsidR="00FC4B69">
              <w:rPr>
                <w:rFonts w:ascii="Times New Roman" w:hAnsi="Times New Roman"/>
                <w:sz w:val="24"/>
              </w:rPr>
              <w:t>. W prz</w:t>
            </w:r>
            <w:r>
              <w:rPr>
                <w:rFonts w:ascii="Times New Roman" w:hAnsi="Times New Roman"/>
                <w:sz w:val="24"/>
              </w:rPr>
              <w:t>ypadku art. 43 ust. 5 rozporządzenia (UE) 2017/2402 zastosowanie mają art. 406</w:t>
            </w:r>
            <w:r w:rsidR="00FC4B69">
              <w:rPr>
                <w:rFonts w:ascii="Times New Roman" w:hAnsi="Times New Roman"/>
                <w:sz w:val="24"/>
              </w:rPr>
              <w:t xml:space="preserve"> i 4</w:t>
            </w:r>
            <w:r>
              <w:rPr>
                <w:rFonts w:ascii="Times New Roman" w:hAnsi="Times New Roman"/>
                <w:sz w:val="24"/>
              </w:rPr>
              <w:t xml:space="preserve">07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wer</w:t>
            </w:r>
            <w:r>
              <w:rPr>
                <w:rFonts w:ascii="Times New Roman" w:hAnsi="Times New Roman"/>
                <w:sz w:val="24"/>
              </w:rPr>
              <w:t>sji mającej zastosowanie</w:t>
            </w:r>
            <w:r w:rsidR="00FC4B69">
              <w:rPr>
                <w:rFonts w:ascii="Times New Roman" w:hAnsi="Times New Roman"/>
                <w:sz w:val="24"/>
              </w:rPr>
              <w:t xml:space="preserve"> w dni</w:t>
            </w:r>
            <w:r>
              <w:rPr>
                <w:rFonts w:ascii="Times New Roman" w:hAnsi="Times New Roman"/>
                <w:sz w:val="24"/>
              </w:rPr>
              <w:t>u 31 grudnia 20</w:t>
            </w:r>
            <w:r w:rsidRPr="00FC4B69">
              <w:rPr>
                <w:rFonts w:ascii="Times New Roman" w:hAnsi="Times New Roman"/>
                <w:sz w:val="24"/>
              </w:rPr>
              <w:t>18</w:t>
            </w:r>
            <w:r w:rsidR="00FC4B69" w:rsidRPr="00FC4B69">
              <w:rPr>
                <w:rFonts w:ascii="Times New Roman" w:hAnsi="Times New Roman"/>
                <w:sz w:val="24"/>
              </w:rPr>
              <w:t> </w:t>
            </w:r>
            <w:r w:rsidRPr="00FC4B69">
              <w:rPr>
                <w:rFonts w:ascii="Times New Roman" w:hAnsi="Times New Roman"/>
                <w:sz w:val="24"/>
              </w:rPr>
              <w:t>r.</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JEDNOSTKI INICJUJĄCEJ</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kolumnie tej podaje się kod LEI mający zastosowanie do jednostki inicjującej, lub jeżeli nie jest dostępny, kod nadany przez organ nadzoru jednostce inicjującej lub, jeżeli taki kod nie jest dostępny, nazwę instytucji.</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6F53C97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sekurytyzacji zbywanych przez wiele podmiotów, gdy instytucja sprawozdająca pełni rolę jednostki inicjującej, sponsorującej lub pierwotnego kredytodawcy, instytucja sprawozdająca podaje identyfikator wszystkich podmiotów należących do jej grupy skonsolidowanej, które biorą udział (jako jednostka inicjująca, jednostka sponsorująca lub pierwotny kredytodawca)</w:t>
            </w:r>
            <w:r w:rsidR="00FC4B69">
              <w:rPr>
                <w:rFonts w:ascii="Times New Roman" w:hAnsi="Times New Roman"/>
                <w:sz w:val="24"/>
              </w:rPr>
              <w:t xml:space="preserve"> w tra</w:t>
            </w:r>
            <w:r>
              <w:rPr>
                <w:rFonts w:ascii="Times New Roman" w:hAnsi="Times New Roman"/>
                <w:sz w:val="24"/>
              </w:rPr>
              <w:t>nsakcji. Jeżeli taki kod jest niedostępny lub nieznany jednostce sprawozdającej, podaje się nazwę instytucji.</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666B35C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sekurytyzacji zbywanych przez wiele podmiotów, gdy instytucja sprawozdająca posiada pozycję</w:t>
            </w:r>
            <w:r w:rsidR="00FC4B69">
              <w:rPr>
                <w:rFonts w:ascii="Times New Roman" w:hAnsi="Times New Roman"/>
                <w:sz w:val="24"/>
              </w:rPr>
              <w:t xml:space="preserve"> w sek</w:t>
            </w:r>
            <w:r>
              <w:rPr>
                <w:rFonts w:ascii="Times New Roman" w:hAnsi="Times New Roman"/>
                <w:sz w:val="24"/>
              </w:rPr>
              <w:t>urytyzacji</w:t>
            </w:r>
            <w:r w:rsidR="00FC4B69">
              <w:rPr>
                <w:rFonts w:ascii="Times New Roman" w:hAnsi="Times New Roman"/>
                <w:sz w:val="24"/>
              </w:rPr>
              <w:t xml:space="preserve"> w rol</w:t>
            </w:r>
            <w:r>
              <w:rPr>
                <w:rFonts w:ascii="Times New Roman" w:hAnsi="Times New Roman"/>
                <w:sz w:val="24"/>
              </w:rPr>
              <w:t>i inwestora, instytucja sprawozdająca podaje identyfikator wszystkim poszczególnym jednostkom inicjującym zaangażowanym</w:t>
            </w:r>
            <w:r w:rsidR="00FC4B69">
              <w:rPr>
                <w:rFonts w:ascii="Times New Roman" w:hAnsi="Times New Roman"/>
                <w:sz w:val="24"/>
              </w:rPr>
              <w:t xml:space="preserve"> w sek</w:t>
            </w:r>
            <w:r>
              <w:rPr>
                <w:rFonts w:ascii="Times New Roman" w:hAnsi="Times New Roman"/>
                <w:sz w:val="24"/>
              </w:rPr>
              <w:t>urytyzację,</w:t>
            </w:r>
            <w:r w:rsidR="00FC4B69">
              <w:rPr>
                <w:rFonts w:ascii="Times New Roman" w:hAnsi="Times New Roman"/>
                <w:sz w:val="24"/>
              </w:rPr>
              <w:t xml:space="preserve"> a gdy</w:t>
            </w:r>
            <w:r>
              <w:rPr>
                <w:rFonts w:ascii="Times New Roman" w:hAnsi="Times New Roman"/>
                <w:sz w:val="24"/>
              </w:rPr>
              <w:t xml:space="preserve"> nie jest on dostępny, podaje nazwy poszczególnych jednostek inicjujących. Gdy nazwy nie są znane instytucji sprawozdającej, instytucja sprawozdająca zgłasza, że sekurytyzacja jest „zbywana przez wiele podmiotów”.</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RODZAJ SEKURYTYZACJI </w:t>
            </w:r>
          </w:p>
          <w:p w14:paraId="1A9B7F32" w14:textId="77777777" w:rsidR="00933ADA" w:rsidRPr="002A677E" w:rsidRDefault="00933ADA" w:rsidP="00822842">
            <w:pPr>
              <w:spacing w:before="0" w:after="0"/>
              <w:jc w:val="left"/>
              <w:rPr>
                <w:rFonts w:ascii="Times New Roman" w:hAnsi="Times New Roman"/>
                <w:sz w:val="24"/>
              </w:rPr>
            </w:pPr>
          </w:p>
          <w:p w14:paraId="5A6B541D" w14:textId="6A27C82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tępujących informacji:</w:t>
            </w:r>
            <w:r>
              <w:t xml:space="preserve"> </w:t>
            </w:r>
            <w:r>
              <w:br/>
            </w:r>
            <w:r>
              <w:rPr>
                <w:rFonts w:ascii="Times New Roman" w:hAnsi="Times New Roman"/>
                <w:sz w:val="24"/>
              </w:rPr>
              <w:t>– program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transakcja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tradycyjne sekurytyzacje inne niż sekurytyzacje ekspozycji nieobsługiwanych;</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niekwalifikujące się sekurytyzacje ekspozycji nieobsługiwanych;</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kwalifikujące się sekurytyzacje ekspozycji nieobsługiwanych;</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transakcje syntetyczne;</w:t>
            </w:r>
          </w:p>
          <w:p w14:paraId="00B64B2F" w14:textId="419CED3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Definicje „programu emisji papierów dłużnych przedsiębiorstw zabezpieczonych aktywami”, „transakcji na papierach dłużnych przedsiębiorstw zabezpieczonych aktywami” oraz „sekurytyzacji syntetycznej” zamieszczono</w:t>
            </w:r>
            <w:r w:rsidR="00FC4B69">
              <w:rPr>
                <w:rFonts w:ascii="Times New Roman" w:hAnsi="Times New Roman"/>
                <w:sz w:val="24"/>
              </w:rPr>
              <w:t xml:space="preserve"> w art</w:t>
            </w:r>
            <w:r>
              <w:rPr>
                <w:rFonts w:ascii="Times New Roman" w:hAnsi="Times New Roman"/>
                <w:sz w:val="24"/>
              </w:rPr>
              <w:t xml:space="preserve">. 242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1–14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definicje „kwalifikujących się tradycyjnych sekurytyzacji ekspozycji nieobsługiwanych” i „sekurytyzacji ekspozycji nieobsługiwanych” określono</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PODEJŚCIE KSIĘGOWE: CZY SEKURYTYZOWANE EKSPOZYCJE SĄ UJMOWANE W BILANSIE CZY SĄ Z NIEGO USUWANE?</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5A80480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pełniące role jednostek inicjujących, jednostek sponsorujących</w:t>
            </w:r>
            <w:r w:rsidR="00FC4B69">
              <w:rPr>
                <w:rFonts w:ascii="Times New Roman" w:hAnsi="Times New Roman"/>
                <w:sz w:val="24"/>
              </w:rPr>
              <w:t xml:space="preserve"> i pie</w:t>
            </w:r>
            <w:r>
              <w:rPr>
                <w:rFonts w:ascii="Times New Roman" w:hAnsi="Times New Roman"/>
                <w:sz w:val="24"/>
              </w:rPr>
              <w:t>rwotnych kredytodawców zgłaszają jeden</w:t>
            </w:r>
            <w:r w:rsidR="00FC4B69">
              <w:rPr>
                <w:rFonts w:ascii="Times New Roman" w:hAnsi="Times New Roman"/>
                <w:sz w:val="24"/>
              </w:rPr>
              <w:t xml:space="preserve"> z pon</w:t>
            </w:r>
            <w:r>
              <w:rPr>
                <w:rFonts w:ascii="Times New Roman" w:hAnsi="Times New Roman"/>
                <w:sz w:val="24"/>
              </w:rPr>
              <w:t>iższych skrótów:</w:t>
            </w:r>
          </w:p>
          <w:p w14:paraId="4C0FBFEA" w14:textId="46ADC0BF"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całkowicie utrzymywane”, jeżeli sekurytyzowane ekspozycje pozostają</w:t>
            </w:r>
            <w:r w:rsidR="00FC4B69">
              <w:rPr>
                <w:rFonts w:ascii="Times New Roman" w:hAnsi="Times New Roman"/>
                <w:sz w:val="24"/>
              </w:rPr>
              <w:t xml:space="preserve"> w cał</w:t>
            </w:r>
            <w:r>
              <w:rPr>
                <w:rFonts w:ascii="Times New Roman" w:hAnsi="Times New Roman"/>
                <w:sz w:val="24"/>
              </w:rPr>
              <w:t>ości ujęte;</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 częściowo usunięte”, jeżeli częściowo zaprzestano ujmowania sekurytyzowanych ekspozycji;</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 – całkowicie usunięte”, jeżeli całkowicie zaprzestano ujmowania sekurytyzowanych ekspozycji;</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nie dotyczy”, jeżeli nie dotyczy.</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63B65D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tej kolumnie podsumowuje się podejście księgowe do transakcji. Przeniesienie istotnej części ryzyka na podstawie art. 244</w:t>
            </w:r>
            <w:r w:rsidR="00FC4B69">
              <w:rPr>
                <w:rFonts w:ascii="Times New Roman" w:hAnsi="Times New Roman"/>
                <w:sz w:val="24"/>
              </w:rPr>
              <w:t xml:space="preserve"> i 2</w:t>
            </w:r>
            <w:r>
              <w:rPr>
                <w:rFonts w:ascii="Times New Roman" w:hAnsi="Times New Roman"/>
                <w:sz w:val="24"/>
              </w:rPr>
              <w:t xml:space="preserve">45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nie wpływa na podejście księgowe do transakcji</w:t>
            </w:r>
            <w:r w:rsidR="00FC4B69">
              <w:rPr>
                <w:rFonts w:ascii="Times New Roman" w:hAnsi="Times New Roman"/>
                <w:sz w:val="24"/>
              </w:rPr>
              <w:t xml:space="preserve"> w ram</w:t>
            </w:r>
            <w:r>
              <w:rPr>
                <w:rFonts w:ascii="Times New Roman" w:hAnsi="Times New Roman"/>
                <w:sz w:val="24"/>
              </w:rPr>
              <w:t>ach stosownych standardów rachunkowości.</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14:paraId="0DB3F002" w14:textId="747C748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Odpowiedź „P” (częściowo usunięte</w:t>
            </w:r>
            <w:r w:rsidR="00FC4B69">
              <w:rPr>
                <w:rFonts w:ascii="Times New Roman" w:hAnsi="Times New Roman"/>
                <w:sz w:val="24"/>
              </w:rPr>
              <w:t xml:space="preserve"> z bil</w:t>
            </w:r>
            <w:r>
              <w:rPr>
                <w:rFonts w:ascii="Times New Roman" w:hAnsi="Times New Roman"/>
                <w:sz w:val="24"/>
              </w:rPr>
              <w:t>ansu) zgłasza się, gdy aktywa sekurytyzowane są uznawane</w:t>
            </w:r>
            <w:r w:rsidR="00FC4B69">
              <w:rPr>
                <w:rFonts w:ascii="Times New Roman" w:hAnsi="Times New Roman"/>
                <w:sz w:val="24"/>
              </w:rPr>
              <w:t xml:space="preserve"> w bil</w:t>
            </w:r>
            <w:r>
              <w:rPr>
                <w:rFonts w:ascii="Times New Roman" w:hAnsi="Times New Roman"/>
                <w:sz w:val="24"/>
              </w:rPr>
              <w:t>ansie</w:t>
            </w:r>
            <w:r w:rsidR="00FC4B69">
              <w:rPr>
                <w:rFonts w:ascii="Times New Roman" w:hAnsi="Times New Roman"/>
                <w:sz w:val="24"/>
              </w:rPr>
              <w:t xml:space="preserve"> w zak</w:t>
            </w:r>
            <w:r>
              <w:rPr>
                <w:rFonts w:ascii="Times New Roman" w:hAnsi="Times New Roman"/>
                <w:sz w:val="24"/>
              </w:rPr>
              <w:t>resie trwającego zaangażowania jednostki sprawozdającej zgodnie</w:t>
            </w:r>
            <w:r w:rsidR="00FC4B69">
              <w:rPr>
                <w:rFonts w:ascii="Times New Roman" w:hAnsi="Times New Roman"/>
                <w:sz w:val="24"/>
              </w:rPr>
              <w:t xml:space="preserve"> z prz</w:t>
            </w:r>
            <w:r>
              <w:rPr>
                <w:rFonts w:ascii="Times New Roman" w:hAnsi="Times New Roman"/>
                <w:sz w:val="24"/>
              </w:rPr>
              <w:t xml:space="preserve">episami MSSF 9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SPOSÓB UJMOWANIA WYPŁACALNOŚCI: CZY POZYCJE SEKURYTYZACYJNE PODLEGAJĄ WYMOGOM W ZAKRESIE FUNDUSZY WŁASNYCH?</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0C7E60D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 109, 244</w:t>
            </w:r>
            <w:r w:rsidR="00FC4B69">
              <w:rPr>
                <w:rFonts w:ascii="Times New Roman" w:hAnsi="Times New Roman"/>
                <w:sz w:val="24"/>
              </w:rPr>
              <w:t xml:space="preserve"> i 2</w:t>
            </w:r>
            <w:r>
              <w:rPr>
                <w:rFonts w:ascii="Times New Roman" w:hAnsi="Times New Roman"/>
                <w:sz w:val="24"/>
              </w:rPr>
              <w:t xml:space="preserve">45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2DFAB86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 xml:space="preserve">tępujących informacji: </w:t>
            </w:r>
          </w:p>
          <w:p w14:paraId="1ED3F521" w14:textId="028E294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nie podlegają wymogom</w:t>
            </w:r>
            <w:r w:rsidR="00FC4B69">
              <w:rPr>
                <w:rFonts w:ascii="Times New Roman" w:hAnsi="Times New Roman"/>
                <w:sz w:val="24"/>
              </w:rPr>
              <w:t xml:space="preserve"> w zak</w:t>
            </w:r>
            <w:r>
              <w:rPr>
                <w:rFonts w:ascii="Times New Roman" w:hAnsi="Times New Roman"/>
                <w:sz w:val="24"/>
              </w:rPr>
              <w:t>resie funduszy własnych;</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portfel bankowy;</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portfel handlowy;</w:t>
            </w:r>
          </w:p>
          <w:p w14:paraId="35D166DE" w14:textId="19A1CD5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częściowo</w:t>
            </w:r>
            <w:r w:rsidR="00FC4B69">
              <w:rPr>
                <w:rFonts w:ascii="Times New Roman" w:hAnsi="Times New Roman"/>
                <w:sz w:val="24"/>
              </w:rPr>
              <w:t xml:space="preserve"> w por</w:t>
            </w:r>
            <w:r>
              <w:rPr>
                <w:rFonts w:ascii="Times New Roman" w:hAnsi="Times New Roman"/>
                <w:sz w:val="24"/>
              </w:rPr>
              <w:t>tfelu bankowym</w:t>
            </w:r>
            <w:r w:rsidR="00FC4B69">
              <w:rPr>
                <w:rFonts w:ascii="Times New Roman" w:hAnsi="Times New Roman"/>
                <w:sz w:val="24"/>
              </w:rPr>
              <w:t xml:space="preserve"> i han</w:t>
            </w:r>
            <w:r>
              <w:rPr>
                <w:rFonts w:ascii="Times New Roman" w:hAnsi="Times New Roman"/>
                <w:sz w:val="24"/>
              </w:rPr>
              <w:t>dlowym</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1F404A5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tej kolumnie podsumowuje się sposób ujmowania przez jednostkę inicjującą wypłacalności</w:t>
            </w:r>
            <w:r w:rsidR="00FC4B69">
              <w:rPr>
                <w:rFonts w:ascii="Times New Roman" w:hAnsi="Times New Roman"/>
                <w:sz w:val="24"/>
              </w:rPr>
              <w:t xml:space="preserve"> w odn</w:t>
            </w:r>
            <w:r>
              <w:rPr>
                <w:rFonts w:ascii="Times New Roman" w:hAnsi="Times New Roman"/>
                <w:sz w:val="24"/>
              </w:rPr>
              <w:t>iesieniu do programu sekurytyzacyjnego. Wskazuje ona, czy wymogi</w:t>
            </w:r>
            <w:r w:rsidR="00FC4B69">
              <w:rPr>
                <w:rFonts w:ascii="Times New Roman" w:hAnsi="Times New Roman"/>
                <w:sz w:val="24"/>
              </w:rPr>
              <w:t xml:space="preserve"> w zak</w:t>
            </w:r>
            <w:r>
              <w:rPr>
                <w:rFonts w:ascii="Times New Roman" w:hAnsi="Times New Roman"/>
                <w:sz w:val="24"/>
              </w:rPr>
              <w:t xml:space="preserve">resie funduszy własnych oblicza się na podstawie sekurytyzowanych ekspozycji czy pozycji sekurytyzacyjnych (portfel bankowy/handlowy).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5AAC8FB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Gdy wymogi</w:t>
            </w:r>
            <w:r w:rsidR="00FC4B69">
              <w:rPr>
                <w:rFonts w:ascii="Times New Roman" w:hAnsi="Times New Roman"/>
                <w:sz w:val="24"/>
              </w:rPr>
              <w:t xml:space="preserve"> w zak</w:t>
            </w:r>
            <w:r>
              <w:rPr>
                <w:rFonts w:ascii="Times New Roman" w:hAnsi="Times New Roman"/>
                <w:sz w:val="24"/>
              </w:rPr>
              <w:t xml:space="preserve">resie funduszy własnych są oparte na </w:t>
            </w:r>
            <w:r>
              <w:rPr>
                <w:rFonts w:ascii="Times New Roman" w:hAnsi="Times New Roman"/>
                <w:i/>
                <w:sz w:val="24"/>
              </w:rPr>
              <w:t>sekurytyzowanych ekspozycjach</w:t>
            </w:r>
            <w:r>
              <w:rPr>
                <w:rFonts w:ascii="Times New Roman" w:hAnsi="Times New Roman"/>
                <w:sz w:val="24"/>
              </w:rPr>
              <w:t xml:space="preserve"> (gdyż nie osiągnięto przeniesienia istotnej części ryzyka), obliczenia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kredytowego zgłasza się we wzorze CR SA</w:t>
            </w:r>
            <w:r w:rsidR="00FC4B69">
              <w:rPr>
                <w:rFonts w:ascii="Times New Roman" w:hAnsi="Times New Roman"/>
                <w:sz w:val="24"/>
              </w:rPr>
              <w:t xml:space="preserve"> w odn</w:t>
            </w:r>
            <w:r>
              <w:rPr>
                <w:rFonts w:ascii="Times New Roman" w:hAnsi="Times New Roman"/>
                <w:sz w:val="24"/>
              </w:rPr>
              <w:t>iesieniu do tych sekurytyzowanych ekspozycji, przypadku których stosuje się metodę standardową, lub we wzorze CR IRB</w:t>
            </w:r>
            <w:r w:rsidR="00FC4B69">
              <w:rPr>
                <w:rFonts w:ascii="Times New Roman" w:hAnsi="Times New Roman"/>
                <w:sz w:val="24"/>
              </w:rPr>
              <w:t xml:space="preserve"> w odn</w:t>
            </w:r>
            <w:r>
              <w:rPr>
                <w:rFonts w:ascii="Times New Roman" w:hAnsi="Times New Roman"/>
                <w:sz w:val="24"/>
              </w:rPr>
              <w:t>iesieniu do tych sekurytyzowanych ekspozycji, przypadku których instytucja stosuje metodę wewnętrznych ratingów.</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2A3A8C0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Jeśli natomiast wymogi</w:t>
            </w:r>
            <w:r w:rsidR="00FC4B69">
              <w:rPr>
                <w:rFonts w:ascii="Times New Roman" w:hAnsi="Times New Roman"/>
                <w:sz w:val="24"/>
              </w:rPr>
              <w:t xml:space="preserve"> w zak</w:t>
            </w:r>
            <w:r>
              <w:rPr>
                <w:rFonts w:ascii="Times New Roman" w:hAnsi="Times New Roman"/>
                <w:sz w:val="24"/>
              </w:rPr>
              <w:t xml:space="preserve">resie funduszy własnych są oparte na </w:t>
            </w:r>
            <w:r>
              <w:rPr>
                <w:rFonts w:ascii="Times New Roman" w:hAnsi="Times New Roman"/>
                <w:i/>
                <w:sz w:val="24"/>
              </w:rPr>
              <w:t>pozycjach sekurytyzacyjnych posiadanych</w:t>
            </w:r>
            <w:r w:rsidR="00FC4B69">
              <w:rPr>
                <w:rFonts w:ascii="Times New Roman" w:hAnsi="Times New Roman"/>
                <w:i/>
                <w:sz w:val="24"/>
              </w:rPr>
              <w:t xml:space="preserve"> w por</w:t>
            </w:r>
            <w:r>
              <w:rPr>
                <w:rFonts w:ascii="Times New Roman" w:hAnsi="Times New Roman"/>
                <w:i/>
                <w:sz w:val="24"/>
              </w:rPr>
              <w:t>tfelu bankowym</w:t>
            </w:r>
            <w:r>
              <w:rPr>
                <w:rFonts w:ascii="Times New Roman" w:hAnsi="Times New Roman"/>
                <w:sz w:val="24"/>
              </w:rPr>
              <w:t xml:space="preserve"> (gdy osiągnięto przeniesienie istotnej części ryzyka), informacje dotyczące obliczenia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kredytowego zgłasza się we wzorze CR SEC</w:t>
            </w:r>
            <w:r w:rsidR="00FC4B69">
              <w:rPr>
                <w:rFonts w:ascii="Times New Roman" w:hAnsi="Times New Roman"/>
                <w:sz w:val="24"/>
              </w:rPr>
              <w:t>. W prz</w:t>
            </w:r>
            <w:r>
              <w:rPr>
                <w:rFonts w:ascii="Times New Roman" w:hAnsi="Times New Roman"/>
                <w:sz w:val="24"/>
              </w:rPr>
              <w:t xml:space="preserve">ypadku </w:t>
            </w:r>
            <w:r>
              <w:rPr>
                <w:rFonts w:ascii="Times New Roman" w:hAnsi="Times New Roman"/>
                <w:i/>
                <w:sz w:val="24"/>
              </w:rPr>
              <w:t>pozycji sekurytyzacyjnych posiadanych</w:t>
            </w:r>
            <w:r w:rsidR="00FC4B69">
              <w:rPr>
                <w:rFonts w:ascii="Times New Roman" w:hAnsi="Times New Roman"/>
                <w:i/>
                <w:sz w:val="24"/>
              </w:rPr>
              <w:t xml:space="preserve"> w por</w:t>
            </w:r>
            <w:r>
              <w:rPr>
                <w:rFonts w:ascii="Times New Roman" w:hAnsi="Times New Roman"/>
                <w:i/>
                <w:sz w:val="24"/>
              </w:rPr>
              <w:t>tfelu handlowym</w:t>
            </w:r>
            <w:r>
              <w:rPr>
                <w:rFonts w:ascii="Times New Roman" w:hAnsi="Times New Roman"/>
                <w:sz w:val="24"/>
              </w:rPr>
              <w:t xml:space="preserve"> informacje dotyczące obliczenia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rynkowego zgłasza się we wzorze MKR SA TDI (znormalizowane ryzyko ogólne</w:t>
            </w:r>
            <w:r w:rsidR="00FC4B69">
              <w:rPr>
                <w:rFonts w:ascii="Times New Roman" w:hAnsi="Times New Roman"/>
                <w:sz w:val="24"/>
              </w:rPr>
              <w:t xml:space="preserve"> z tyt</w:t>
            </w:r>
            <w:r>
              <w:rPr>
                <w:rFonts w:ascii="Times New Roman" w:hAnsi="Times New Roman"/>
                <w:sz w:val="24"/>
              </w:rPr>
              <w:t>ułu pozycji) oraz we wzorze MKR SA SEC lub MKR SA CTP (znormalizowane ryzyko szczególne</w:t>
            </w:r>
            <w:r w:rsidR="00FC4B69">
              <w:rPr>
                <w:rFonts w:ascii="Times New Roman" w:hAnsi="Times New Roman"/>
                <w:sz w:val="24"/>
              </w:rPr>
              <w:t xml:space="preserve"> z tyt</w:t>
            </w:r>
            <w:r>
              <w:rPr>
                <w:rFonts w:ascii="Times New Roman" w:hAnsi="Times New Roman"/>
                <w:sz w:val="24"/>
              </w:rPr>
              <w:t>ułu pozycji) lub we wzorze MKR IM (modele wewnętrzne).</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sekurytyzacji zobowiązań jednostki inicjujące nie zgłaszają tej kolumny.</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PRZENIESIENIE ISTOTNEJ CZĘŚCI RYZYKA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Następujące informacje podają wyłącznie jednostki inicjujące:</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nie stosuje się do przeniesienia istotnej części ryzyka – jednostka sprawozdawcza dokonuje ważenia ryzyka swoich sekurytyzowanych ekspozycji;</w:t>
            </w:r>
          </w:p>
          <w:p w14:paraId="0F0185D9" w14:textId="059E73A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osiągnięto przeniesienie istotnej części ryzyka</w:t>
            </w:r>
            <w:r w:rsidR="00FC4B69">
              <w:rPr>
                <w:rFonts w:ascii="Times New Roman" w:hAnsi="Times New Roman"/>
                <w:sz w:val="24"/>
              </w:rPr>
              <w:t xml:space="preserve"> w ram</w:t>
            </w:r>
            <w:r>
              <w:rPr>
                <w:rFonts w:ascii="Times New Roman" w:hAnsi="Times New Roman"/>
                <w:sz w:val="24"/>
              </w:rPr>
              <w:t xml:space="preserve">ach art. 244 ust. 2 lit. a) lub art. 245 ust. 2 lit. 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4878912D" w14:textId="4A04F8C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osiągnięto przeniesienie istotnej części ryzyka</w:t>
            </w:r>
            <w:r w:rsidR="00FC4B69">
              <w:rPr>
                <w:rFonts w:ascii="Times New Roman" w:hAnsi="Times New Roman"/>
                <w:sz w:val="24"/>
              </w:rPr>
              <w:t xml:space="preserve"> w ram</w:t>
            </w:r>
            <w:r>
              <w:rPr>
                <w:rFonts w:ascii="Times New Roman" w:hAnsi="Times New Roman"/>
                <w:sz w:val="24"/>
              </w:rPr>
              <w:t xml:space="preserve">ach art. 244 ust. 2 lit. b) lub art. 245 ust. 2 lit. b)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4663FCA" w14:textId="4509C65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osiągnięto przeniesienie istotnej części ryzyka</w:t>
            </w:r>
            <w:r w:rsidR="00FC4B69">
              <w:rPr>
                <w:rFonts w:ascii="Times New Roman" w:hAnsi="Times New Roman"/>
                <w:sz w:val="24"/>
              </w:rPr>
              <w:t xml:space="preserve"> w ram</w:t>
            </w:r>
            <w:r>
              <w:rPr>
                <w:rFonts w:ascii="Times New Roman" w:hAnsi="Times New Roman"/>
                <w:sz w:val="24"/>
              </w:rPr>
              <w:t xml:space="preserve">ach art. 244 ust. 3 lit. a) lub art. 245 ust. 3 lit. 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1AA1D6B" w14:textId="4834DAF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zastosowanie 1 25</w:t>
            </w:r>
            <w:r w:rsidRPr="00FC4B69">
              <w:rPr>
                <w:rFonts w:ascii="Times New Roman" w:hAnsi="Times New Roman"/>
                <w:sz w:val="24"/>
              </w:rPr>
              <w:t>0</w:t>
            </w:r>
            <w:r w:rsidR="00FC4B69" w:rsidRPr="00FC4B69">
              <w:t> </w:t>
            </w:r>
            <w:r w:rsidRPr="00FC4B69">
              <w:rPr>
                <w:rFonts w:ascii="Times New Roman" w:hAnsi="Times New Roman"/>
                <w:sz w:val="24"/>
              </w:rPr>
              <w:t>%</w:t>
            </w:r>
            <w:r>
              <w:rPr>
                <w:rFonts w:ascii="Times New Roman" w:hAnsi="Times New Roman"/>
                <w:sz w:val="24"/>
              </w:rPr>
              <w:t xml:space="preserve"> RW lub odjęcie utrzymanych pozycji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44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lub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45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5493CD1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W kolumnie tej podsumowuje się, czy osiągnięto istotne przeniesienie,</w:t>
            </w:r>
            <w:r w:rsidR="00FC4B69">
              <w:rPr>
                <w:rFonts w:ascii="Times New Roman" w:hAnsi="Times New Roman"/>
                <w:sz w:val="24"/>
              </w:rPr>
              <w:t xml:space="preserve"> a jeś</w:t>
            </w:r>
            <w:r>
              <w:rPr>
                <w:rFonts w:ascii="Times New Roman" w:hAnsi="Times New Roman"/>
                <w:sz w:val="24"/>
              </w:rPr>
              <w:t>li tak, to</w:t>
            </w:r>
            <w:r w:rsidR="00FC4B69">
              <w:rPr>
                <w:rFonts w:ascii="Times New Roman" w:hAnsi="Times New Roman"/>
                <w:sz w:val="24"/>
              </w:rPr>
              <w:t xml:space="preserve"> w jak</w:t>
            </w:r>
            <w:r>
              <w:rPr>
                <w:rFonts w:ascii="Times New Roman" w:hAnsi="Times New Roman"/>
                <w:sz w:val="24"/>
              </w:rPr>
              <w:t>i sposób. Osiągnięcie przeniesienia istotnej części ryzyka określi stosowny sposób ujmowania wypłacalności przez jednostkę inicjującą.</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SEKURYTYZACJA CZY RESEKURYTYZACJA?</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3E784325"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def</w:t>
            </w:r>
            <w:r>
              <w:rPr>
                <w:rFonts w:ascii="Times New Roman" w:hAnsi="Times New Roman"/>
                <w:sz w:val="24"/>
              </w:rPr>
              <w:t>inicją „sekurytyzacji” zamieszczoną</w:t>
            </w:r>
            <w:r w:rsidR="00FC4B69">
              <w:rPr>
                <w:rFonts w:ascii="Times New Roman" w:hAnsi="Times New Roman"/>
                <w:sz w:val="24"/>
              </w:rPr>
              <w:t xml:space="preserve"> w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oraz definicją „resekurytyzacji” zamieszczoną</w:t>
            </w:r>
            <w:r w:rsidR="00FC4B69">
              <w:rPr>
                <w:rFonts w:ascii="Times New Roman" w:hAnsi="Times New Roman"/>
                <w:sz w:val="24"/>
              </w:rPr>
              <w:t xml:space="preserve"> w art</w:t>
            </w:r>
            <w:r>
              <w:rPr>
                <w:rFonts w:ascii="Times New Roman" w:hAnsi="Times New Roman"/>
                <w:sz w:val="24"/>
              </w:rPr>
              <w:t xml:space="preserve">. 4 ust. 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zgłasza się rodzaj sekurytyzacji przy wykorzystaniu następujących skrótów:</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sekurytyzacje;</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resekurytyzacje.</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SEKURYTYZACJA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 18 rozporządzenia (UE)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20A6A665" w:rsidR="00933ADA" w:rsidRPr="002A677E" w:rsidRDefault="00933ADA" w:rsidP="00822842">
            <w:pPr>
              <w:spacing w:before="0"/>
              <w:jc w:val="left"/>
              <w:rPr>
                <w:rFonts w:ascii="Times New Roman" w:hAnsi="Times New Roman"/>
                <w:sz w:val="24"/>
              </w:rPr>
            </w:pPr>
            <w:r>
              <w:rPr>
                <w:rFonts w:ascii="Times New Roman" w:hAnsi="Times New Roman"/>
                <w:sz w:val="24"/>
              </w:rPr>
              <w:t>Instytucje zgłaszają jeden</w:t>
            </w:r>
            <w:r w:rsidR="00FC4B69">
              <w:rPr>
                <w:rFonts w:ascii="Times New Roman" w:hAnsi="Times New Roman"/>
                <w:sz w:val="24"/>
              </w:rPr>
              <w:t xml:space="preserve"> z nas</w:t>
            </w:r>
            <w:r>
              <w:rPr>
                <w:rFonts w:ascii="Times New Roman" w:hAnsi="Times New Roman"/>
                <w:sz w:val="24"/>
              </w:rPr>
              <w:t>tępujących skrótów:</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 – Tak;</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Nie.</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CZY SEKURYTYZACJA KWALIFIKUJE SIĘ DO ZRÓŻNICOWANEGO TRAKTOWANIA KAPITAŁU?</w:t>
            </w:r>
          </w:p>
          <w:p w14:paraId="4D2D104B" w14:textId="77777777" w:rsidR="00933ADA" w:rsidRPr="002A677E" w:rsidRDefault="00933ADA" w:rsidP="00822842">
            <w:pPr>
              <w:spacing w:before="0" w:after="0"/>
              <w:jc w:val="left"/>
              <w:rPr>
                <w:rFonts w:ascii="Times New Roman" w:hAnsi="Times New Roman"/>
                <w:sz w:val="24"/>
              </w:rPr>
            </w:pPr>
          </w:p>
          <w:p w14:paraId="54D6E895" w14:textId="046A8206" w:rsidR="00933ADA" w:rsidRPr="002A677E" w:rsidRDefault="00933ADA" w:rsidP="00822842">
            <w:pPr>
              <w:spacing w:before="0"/>
              <w:jc w:val="left"/>
              <w:rPr>
                <w:rFonts w:ascii="Times New Roman" w:hAnsi="Times New Roman"/>
                <w:sz w:val="24"/>
              </w:rPr>
            </w:pPr>
            <w:r>
              <w:rPr>
                <w:rFonts w:ascii="Times New Roman" w:hAnsi="Times New Roman"/>
                <w:sz w:val="24"/>
              </w:rPr>
              <w:t>Art. 243, 270</w:t>
            </w:r>
            <w:r w:rsidR="00FC4B69">
              <w:rPr>
                <w:rFonts w:ascii="Times New Roman" w:hAnsi="Times New Roman"/>
                <w:sz w:val="24"/>
              </w:rPr>
              <w:t xml:space="preserve"> i 4</w:t>
            </w:r>
            <w:r>
              <w:rPr>
                <w:rFonts w:ascii="Times New Roman" w:hAnsi="Times New Roman"/>
                <w:sz w:val="24"/>
              </w:rPr>
              <w:t xml:space="preserve">94c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3A58614" w14:textId="1DDBEA04" w:rsidR="00933ADA" w:rsidRPr="002A677E" w:rsidRDefault="00933ADA" w:rsidP="00822842">
            <w:pPr>
              <w:spacing w:before="0" w:after="0"/>
              <w:jc w:val="left"/>
              <w:rPr>
                <w:rFonts w:ascii="Times New Roman" w:hAnsi="Times New Roman"/>
                <w:sz w:val="24"/>
              </w:rPr>
            </w:pPr>
            <w:r>
              <w:rPr>
                <w:rFonts w:ascii="Times New Roman" w:hAnsi="Times New Roman"/>
                <w:sz w:val="24"/>
              </w:rPr>
              <w:t>Instytucje zgłaszają jeden</w:t>
            </w:r>
            <w:r w:rsidR="00FC4B69">
              <w:rPr>
                <w:rFonts w:ascii="Times New Roman" w:hAnsi="Times New Roman"/>
                <w:sz w:val="24"/>
              </w:rPr>
              <w:t xml:space="preserve"> z nas</w:t>
            </w:r>
            <w:r>
              <w:rPr>
                <w:rFonts w:ascii="Times New Roman" w:hAnsi="Times New Roman"/>
                <w:sz w:val="24"/>
              </w:rPr>
              <w:t>tępujących skrótów:</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w:t>
            </w:r>
            <w:r>
              <w:tab/>
            </w:r>
            <w:r>
              <w:rPr>
                <w:rFonts w:ascii="Times New Roman" w:hAnsi="Times New Roman"/>
                <w:sz w:val="24"/>
              </w:rPr>
              <w:t>– Tak;</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Nie.</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3A2DD17D" w:rsidR="00933ADA" w:rsidRPr="002A677E" w:rsidRDefault="00933ADA" w:rsidP="00822842">
            <w:pPr>
              <w:spacing w:before="0" w:after="0"/>
              <w:jc w:val="left"/>
              <w:rPr>
                <w:rFonts w:ascii="Times New Roman" w:hAnsi="Times New Roman"/>
                <w:sz w:val="24"/>
              </w:rPr>
            </w:pPr>
            <w:r>
              <w:rPr>
                <w:rFonts w:ascii="Times New Roman" w:hAnsi="Times New Roman"/>
                <w:sz w:val="24"/>
              </w:rPr>
              <w:t>„TAK” zgłasza się</w:t>
            </w:r>
            <w:r w:rsidR="00FC4B69">
              <w:rPr>
                <w:rFonts w:ascii="Times New Roman" w:hAnsi="Times New Roman"/>
                <w:sz w:val="24"/>
              </w:rPr>
              <w:t xml:space="preserve"> w nas</w:t>
            </w:r>
            <w:r>
              <w:rPr>
                <w:rFonts w:ascii="Times New Roman" w:hAnsi="Times New Roman"/>
                <w:sz w:val="24"/>
              </w:rPr>
              <w:t>tępujących przypadkach:</w:t>
            </w:r>
          </w:p>
          <w:p w14:paraId="449E7C7C" w14:textId="6A55EFCE"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Sekurytyzacje STS kwalifikujące się do zróżnicowanego traktowania kapitału zgodnie</w:t>
            </w:r>
            <w:r w:rsidR="00FC4B69">
              <w:rPr>
                <w:rFonts w:ascii="Times New Roman" w:hAnsi="Times New Roman"/>
                <w:sz w:val="24"/>
              </w:rPr>
              <w:t xml:space="preserve"> z art</w:t>
            </w:r>
            <w:r>
              <w:rPr>
                <w:rFonts w:ascii="Times New Roman" w:hAnsi="Times New Roman"/>
                <w:sz w:val="24"/>
              </w:rPr>
              <w:t xml:space="preserve">. 243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0F1A6EAD" w14:textId="67B389B5"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Uprzywilejowane pozycje</w:t>
            </w:r>
            <w:r w:rsidR="00FC4B69">
              <w:rPr>
                <w:rFonts w:ascii="Times New Roman" w:hAnsi="Times New Roman"/>
                <w:sz w:val="24"/>
              </w:rPr>
              <w:t xml:space="preserve"> w sek</w:t>
            </w:r>
            <w:r>
              <w:rPr>
                <w:rFonts w:ascii="Times New Roman" w:hAnsi="Times New Roman"/>
                <w:sz w:val="24"/>
              </w:rPr>
              <w:t>urytyzacjach bilansowych STS kwalifikujące się do tego traktowania zgodnie</w:t>
            </w:r>
            <w:r w:rsidR="00FC4B69">
              <w:rPr>
                <w:rFonts w:ascii="Times New Roman" w:hAnsi="Times New Roman"/>
                <w:sz w:val="24"/>
              </w:rPr>
              <w:t xml:space="preserve"> z art</w:t>
            </w:r>
            <w:r>
              <w:rPr>
                <w:rFonts w:ascii="Times New Roman" w:hAnsi="Times New Roman"/>
                <w:sz w:val="24"/>
              </w:rPr>
              <w:t xml:space="preserve">. 270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4149D39" w14:textId="77DF425B"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Syntetyczne pozycje sekurytyzacyjne dot. ekspozycji MŚP podlegające zasadzie praw nabytych zgodnie</w:t>
            </w:r>
            <w:r w:rsidR="00FC4B69">
              <w:rPr>
                <w:rFonts w:ascii="Times New Roman" w:hAnsi="Times New Roman"/>
                <w:sz w:val="24"/>
              </w:rPr>
              <w:t xml:space="preserve"> z art</w:t>
            </w:r>
            <w:r>
              <w:rPr>
                <w:rFonts w:ascii="Times New Roman" w:hAnsi="Times New Roman"/>
                <w:sz w:val="24"/>
              </w:rPr>
              <w:t xml:space="preserve">. 494c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RODZAJ MARŻY NADWYŻKOWEJ</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3F1E3E5"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9 rozporządzenia (UE)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4D1A1285" w:rsidR="00933ADA" w:rsidRPr="002A677E" w:rsidRDefault="00933ADA" w:rsidP="00822842">
            <w:pPr>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tępujących informacji:</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brak marży nadwyżkowej</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marża nadwyżkowa, kwota stała – mechanizm oparty na zasadzie „wykorzystaj lub strać”</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marża nadwyżkowa, stała kwota – mechanizm zatrzymania</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marża nadwyżkowa, kwota zmienna – mechanizm oparty na zasadzie „wykorzystaj lub strać”</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marża nadwyżkowa, kwota zmienna – mechanizm zatrzymania</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SYSTEM AMORTYZACJI</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6B5B00A2" w:rsidR="00933ADA" w:rsidRPr="002A677E" w:rsidRDefault="00933ADA" w:rsidP="00822842">
            <w:pPr>
              <w:spacing w:before="0" w:after="0"/>
              <w:jc w:val="left"/>
              <w:rPr>
                <w:rFonts w:ascii="Times New Roman" w:hAnsi="Times New Roman"/>
                <w:sz w:val="24"/>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tępujących informacji:</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spłata sekwencyjna</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spłata proporcjonalna</w:t>
            </w:r>
          </w:p>
          <w:p w14:paraId="3D35DEB1" w14:textId="316F6B4C"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spłata proporcjonalna przechodząca na spłatę sekwencyjną; zgodność</w:t>
            </w:r>
            <w:r w:rsidR="00FC4B69">
              <w:rPr>
                <w:rFonts w:ascii="Times New Roman" w:hAnsi="Times New Roman"/>
                <w:sz w:val="24"/>
              </w:rPr>
              <w:t xml:space="preserve"> z kry</w:t>
            </w:r>
            <w:r>
              <w:rPr>
                <w:rFonts w:ascii="Times New Roman" w:hAnsi="Times New Roman"/>
                <w:sz w:val="24"/>
              </w:rPr>
              <w:t>teriami STS dla sekurytyzacji bilansowych</w:t>
            </w:r>
            <w:r w:rsidR="00E16840">
              <w:rPr>
                <w:rFonts w:ascii="Times New Roman" w:hAnsi="Times New Roman"/>
                <w:sz w:val="24"/>
              </w:rPr>
              <w:t xml:space="preserve"> </w:t>
            </w:r>
            <w:r>
              <w:rPr>
                <w:rFonts w:ascii="Times New Roman" w:hAnsi="Times New Roman"/>
                <w:sz w:val="24"/>
              </w:rPr>
              <w:t>(</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6c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 rozporządzenia (UE) 2017/2402) </w:t>
            </w:r>
          </w:p>
          <w:p w14:paraId="56ACF26F" w14:textId="73AE4FEB"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spłata proporcjonalna przechodząca na spłatę sekwencyjną; zgodność</w:t>
            </w:r>
            <w:r w:rsidR="00FC4B69">
              <w:rPr>
                <w:rFonts w:ascii="Times New Roman" w:hAnsi="Times New Roman"/>
                <w:sz w:val="24"/>
              </w:rPr>
              <w:t xml:space="preserve"> z kry</w:t>
            </w:r>
            <w:r>
              <w:rPr>
                <w:rFonts w:ascii="Times New Roman" w:hAnsi="Times New Roman"/>
                <w:sz w:val="24"/>
              </w:rPr>
              <w:t>teriami STS dla transakcji niebędących transakcjami ABCP</w:t>
            </w:r>
            <w:r>
              <w:t xml:space="preserve"> </w:t>
            </w:r>
            <w:r>
              <w:rPr>
                <w:rFonts w:ascii="Times New Roman" w:hAnsi="Times New Roman"/>
                <w:sz w:val="24"/>
              </w:rPr>
              <w:t xml:space="preserve">(Wytyczne dotyczące kryteriów STS dla transakcji niebędących transakcjami ABCP oraz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 rozporządzenia (UE)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spłata proporcjonalna przechodząca na spłatę sekwencyjną; brak zgodności</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inny system spłat</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OPCJE ZABEZPIECZENIA</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 26e rozporządzenia (UE)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316E13C1" w:rsidR="00933ADA" w:rsidRPr="002A677E" w:rsidRDefault="00933ADA" w:rsidP="00822842">
            <w:pPr>
              <w:rPr>
                <w:rFonts w:ascii="Calibri" w:hAnsi="Calibri"/>
                <w:szCs w:val="22"/>
              </w:rPr>
            </w:pPr>
            <w:r>
              <w:rPr>
                <w:rFonts w:ascii="Times New Roman" w:hAnsi="Times New Roman"/>
                <w:sz w:val="24"/>
              </w:rPr>
              <w:t>Instytucje zgłaszają jedną</w:t>
            </w:r>
            <w:r w:rsidR="00FC4B69">
              <w:rPr>
                <w:rFonts w:ascii="Times New Roman" w:hAnsi="Times New Roman"/>
                <w:sz w:val="24"/>
              </w:rPr>
              <w:t xml:space="preserve"> z nas</w:t>
            </w:r>
            <w:r>
              <w:rPr>
                <w:rFonts w:ascii="Times New Roman" w:hAnsi="Times New Roman"/>
                <w:sz w:val="24"/>
              </w:rPr>
              <w:t>tępujących opcji zabezpieczenia umowy dotyczącej ochrony kredytowej:</w:t>
            </w:r>
          </w:p>
          <w:p w14:paraId="42F6D81D" w14:textId="77777777" w:rsidR="00933ADA" w:rsidRPr="002A677E" w:rsidRDefault="00933ADA" w:rsidP="00822842"/>
          <w:p w14:paraId="12CD9FF6" w14:textId="4A650161"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zabezpieczenie</w:t>
            </w:r>
            <w:r w:rsidR="00FC4B69">
              <w:rPr>
                <w:rFonts w:ascii="Times New Roman" w:hAnsi="Times New Roman"/>
                <w:sz w:val="24"/>
              </w:rPr>
              <w:t xml:space="preserve"> w for</w:t>
            </w:r>
            <w:r>
              <w:rPr>
                <w:rFonts w:ascii="Times New Roman" w:hAnsi="Times New Roman"/>
                <w:sz w:val="24"/>
              </w:rPr>
              <w:t xml:space="preserve">mie dłużnych papierów wartościowych, którym przypisuje się wagę ryzyka równą </w:t>
            </w:r>
            <w:r w:rsidRPr="00FC4B69">
              <w:rPr>
                <w:rFonts w:ascii="Times New Roman" w:hAnsi="Times New Roman"/>
                <w:sz w:val="24"/>
              </w:rPr>
              <w:t>0</w:t>
            </w:r>
            <w:r w:rsidR="00FC4B69" w:rsidRPr="00FC4B69">
              <w:rPr>
                <w:rFonts w:ascii="Times New Roman" w:hAnsi="Times New Roman"/>
                <w:sz w:val="24"/>
              </w:rPr>
              <w:t> </w:t>
            </w:r>
            <w:r w:rsidRPr="00FC4B69">
              <w:rPr>
                <w:rFonts w:ascii="Times New Roman" w:hAnsi="Times New Roman"/>
                <w:sz w:val="24"/>
              </w:rPr>
              <w:t>%</w:t>
            </w:r>
            <w:r>
              <w:rPr>
                <w:rFonts w:ascii="Times New Roman" w:hAnsi="Times New Roman"/>
                <w:sz w:val="24"/>
              </w:rPr>
              <w:t>,</w:t>
            </w:r>
            <w:r>
              <w:t xml:space="preserve">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0 akapit pierwszy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2017/2402</w:t>
            </w:r>
          </w:p>
          <w:p w14:paraId="757E6885" w14:textId="1F54A879"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zabezpieczenie</w:t>
            </w:r>
            <w:r w:rsidR="00FC4B69">
              <w:rPr>
                <w:rFonts w:ascii="Times New Roman" w:hAnsi="Times New Roman"/>
                <w:sz w:val="24"/>
              </w:rPr>
              <w:t xml:space="preserve"> w for</w:t>
            </w:r>
            <w:r>
              <w:rPr>
                <w:rFonts w:ascii="Times New Roman" w:hAnsi="Times New Roman"/>
                <w:sz w:val="24"/>
              </w:rPr>
              <w:t>mie środków pieniężnych przechowywanych</w:t>
            </w:r>
            <w:r w:rsidR="00FC4B69">
              <w:rPr>
                <w:rFonts w:ascii="Times New Roman" w:hAnsi="Times New Roman"/>
                <w:sz w:val="24"/>
              </w:rPr>
              <w:t xml:space="preserve"> w ins</w:t>
            </w:r>
            <w:r>
              <w:rPr>
                <w:rFonts w:ascii="Times New Roman" w:hAnsi="Times New Roman"/>
                <w:sz w:val="24"/>
              </w:rPr>
              <w:t>tytucji kredytowej będącej osobą trzecią ze stopniem jakości kredytowej równym 3 lub więcej</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0 akapit pierwszy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2017/2402</w:t>
            </w:r>
          </w:p>
          <w:p w14:paraId="0D7CB373" w14:textId="35706190"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zabezpieczenie</w:t>
            </w:r>
            <w:r w:rsidR="00FC4B69">
              <w:rPr>
                <w:rFonts w:ascii="Times New Roman" w:hAnsi="Times New Roman"/>
                <w:sz w:val="24"/>
              </w:rPr>
              <w:t xml:space="preserve"> w for</w:t>
            </w:r>
            <w:r>
              <w:rPr>
                <w:rFonts w:ascii="Times New Roman" w:hAnsi="Times New Roman"/>
                <w:sz w:val="24"/>
              </w:rPr>
              <w:t>mie środków pieniężnych deponowanych</w:t>
            </w:r>
            <w:r w:rsidR="00FC4B69">
              <w:rPr>
                <w:rFonts w:ascii="Times New Roman" w:hAnsi="Times New Roman"/>
                <w:sz w:val="24"/>
              </w:rPr>
              <w:t xml:space="preserve"> w jed</w:t>
            </w:r>
            <w:r>
              <w:rPr>
                <w:rFonts w:ascii="Times New Roman" w:hAnsi="Times New Roman"/>
                <w:sz w:val="24"/>
              </w:rPr>
              <w:t>nostce inicjującej lub</w:t>
            </w:r>
            <w:r w:rsidR="00FC4B69">
              <w:rPr>
                <w:rFonts w:ascii="Times New Roman" w:hAnsi="Times New Roman"/>
                <w:sz w:val="24"/>
              </w:rPr>
              <w:t xml:space="preserve"> w jed</w:t>
            </w:r>
            <w:r>
              <w:rPr>
                <w:rFonts w:ascii="Times New Roman" w:hAnsi="Times New Roman"/>
                <w:sz w:val="24"/>
              </w:rPr>
              <w:t>nym</w:t>
            </w:r>
            <w:r w:rsidR="00FC4B69">
              <w:rPr>
                <w:rFonts w:ascii="Times New Roman" w:hAnsi="Times New Roman"/>
                <w:sz w:val="24"/>
              </w:rPr>
              <w:t xml:space="preserve"> z jej</w:t>
            </w:r>
            <w:r>
              <w:rPr>
                <w:rFonts w:ascii="Times New Roman" w:hAnsi="Times New Roman"/>
                <w:sz w:val="24"/>
              </w:rPr>
              <w:t xml:space="preserve"> podmiotów powiązanych, jeżeli stopień jakości kredytowej tej jednostki lub tego podmiotu wynosi co najmniej 2</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0 akapit drugi rozporządzenia (UE) 2017/2402</w:t>
            </w:r>
          </w:p>
          <w:p w14:paraId="03FD0372" w14:textId="20E5F49D"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zabezpieczenie</w:t>
            </w:r>
            <w:r w:rsidR="00FC4B69">
              <w:rPr>
                <w:rFonts w:ascii="Times New Roman" w:hAnsi="Times New Roman"/>
                <w:sz w:val="24"/>
              </w:rPr>
              <w:t xml:space="preserve"> w for</w:t>
            </w:r>
            <w:r>
              <w:rPr>
                <w:rFonts w:ascii="Times New Roman" w:hAnsi="Times New Roman"/>
                <w:sz w:val="24"/>
              </w:rPr>
              <w:t>mie środków pieniężnych deponowanych</w:t>
            </w:r>
            <w:r w:rsidR="00FC4B69">
              <w:rPr>
                <w:rFonts w:ascii="Times New Roman" w:hAnsi="Times New Roman"/>
                <w:sz w:val="24"/>
              </w:rPr>
              <w:t xml:space="preserve"> w jed</w:t>
            </w:r>
            <w:r>
              <w:rPr>
                <w:rFonts w:ascii="Times New Roman" w:hAnsi="Times New Roman"/>
                <w:sz w:val="24"/>
              </w:rPr>
              <w:t>nostce inicjującej lub</w:t>
            </w:r>
            <w:r w:rsidR="00FC4B69">
              <w:rPr>
                <w:rFonts w:ascii="Times New Roman" w:hAnsi="Times New Roman"/>
                <w:sz w:val="24"/>
              </w:rPr>
              <w:t xml:space="preserve"> w jed</w:t>
            </w:r>
            <w:r>
              <w:rPr>
                <w:rFonts w:ascii="Times New Roman" w:hAnsi="Times New Roman"/>
                <w:sz w:val="24"/>
              </w:rPr>
              <w:t>nym</w:t>
            </w:r>
            <w:r w:rsidR="00FC4B69">
              <w:rPr>
                <w:rFonts w:ascii="Times New Roman" w:hAnsi="Times New Roman"/>
                <w:sz w:val="24"/>
              </w:rPr>
              <w:t xml:space="preserve"> z jej</w:t>
            </w:r>
            <w:r>
              <w:rPr>
                <w:rFonts w:ascii="Times New Roman" w:hAnsi="Times New Roman"/>
                <w:sz w:val="24"/>
              </w:rPr>
              <w:t xml:space="preserve"> podmiotów powiązanych, jeżeli stopień jakości kredytowej tej jednostki lub tego podmiotu wynosi co najmniej 3</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0 akapit trzeci rozporządzenia (UE) 2017/2402</w:t>
            </w:r>
          </w:p>
          <w:p w14:paraId="1C79D687" w14:textId="59016743"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wymóg spełniony</w:t>
            </w:r>
            <w:r w:rsidR="00FC4B69">
              <w:rPr>
                <w:rFonts w:ascii="Times New Roman" w:hAnsi="Times New Roman"/>
                <w:sz w:val="24"/>
              </w:rPr>
              <w:t xml:space="preserve"> w prz</w:t>
            </w:r>
            <w:r>
              <w:rPr>
                <w:rFonts w:ascii="Times New Roman" w:hAnsi="Times New Roman"/>
                <w:sz w:val="24"/>
              </w:rPr>
              <w:t>ypadku inwestycji</w:t>
            </w:r>
            <w:r w:rsidR="00FC4B69">
              <w:rPr>
                <w:rFonts w:ascii="Times New Roman" w:hAnsi="Times New Roman"/>
                <w:sz w:val="24"/>
              </w:rPr>
              <w:t xml:space="preserve"> w obl</w:t>
            </w:r>
            <w:r>
              <w:rPr>
                <w:rFonts w:ascii="Times New Roman" w:hAnsi="Times New Roman"/>
                <w:sz w:val="24"/>
              </w:rPr>
              <w:t>igacje powiązane</w:t>
            </w:r>
            <w:r w:rsidR="00FC4B69">
              <w:rPr>
                <w:rFonts w:ascii="Times New Roman" w:hAnsi="Times New Roman"/>
                <w:sz w:val="24"/>
              </w:rPr>
              <w:t xml:space="preserve"> z ryz</w:t>
            </w:r>
            <w:r>
              <w:rPr>
                <w:rFonts w:ascii="Times New Roman" w:hAnsi="Times New Roman"/>
                <w:sz w:val="24"/>
              </w:rPr>
              <w:t>ykiem kredytowym wyemitowane przez jednostkę inicjującą</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0 akapit czwarty rozporządzenia (UE) 2017/2402</w:t>
            </w:r>
          </w:p>
          <w:p w14:paraId="0927AFAB" w14:textId="1198C68C"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brak zabezpieczenia, inwestorowi przypisuje się wagę ryzyka równą </w:t>
            </w:r>
            <w:r w:rsidRPr="00FC4B69">
              <w:rPr>
                <w:rFonts w:ascii="Times New Roman" w:hAnsi="Times New Roman"/>
                <w:sz w:val="24"/>
              </w:rPr>
              <w:t>0</w:t>
            </w:r>
            <w:r w:rsidR="00FC4B69" w:rsidRPr="00FC4B69">
              <w:t> </w:t>
            </w:r>
            <w:r w:rsidRPr="00FC4B69">
              <w:rPr>
                <w:rFonts w:ascii="Times New Roman" w:hAnsi="Times New Roman"/>
                <w:sz w:val="24"/>
              </w:rPr>
              <w:t>%</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8</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rozporządzenia (UE) 2017/2402</w:t>
            </w:r>
          </w:p>
          <w:p w14:paraId="528AF68E" w14:textId="16FFCA89"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brak zabezpieczenia, inwestor korzysta</w:t>
            </w:r>
            <w:r w:rsidR="00FC4B69">
              <w:rPr>
                <w:rFonts w:ascii="Times New Roman" w:hAnsi="Times New Roman"/>
                <w:sz w:val="24"/>
              </w:rPr>
              <w:t xml:space="preserve"> z kon</w:t>
            </w:r>
            <w:r>
              <w:rPr>
                <w:rFonts w:ascii="Times New Roman" w:hAnsi="Times New Roman"/>
                <w:sz w:val="24"/>
              </w:rPr>
              <w:t xml:space="preserve">trgwarancji podmiotu, który kwalifikuje się do wagi ryzyka równej </w:t>
            </w:r>
            <w:r w:rsidRPr="00FC4B69">
              <w:rPr>
                <w:rFonts w:ascii="Times New Roman" w:hAnsi="Times New Roman"/>
                <w:sz w:val="24"/>
              </w:rPr>
              <w:t>0</w:t>
            </w:r>
            <w:r w:rsidR="00FC4B69" w:rsidRPr="00FC4B69">
              <w:t> </w:t>
            </w:r>
            <w:r w:rsidRPr="00FC4B69">
              <w:rPr>
                <w:rFonts w:ascii="Times New Roman" w:hAnsi="Times New Roman"/>
                <w:sz w:val="24"/>
              </w:rPr>
              <w:t>%</w:t>
            </w:r>
            <w:r>
              <w:t xml:space="preserve"> </w:t>
            </w:r>
            <w:r>
              <w:br/>
            </w:r>
            <w:r>
              <w:rPr>
                <w:rFonts w:ascii="Times New Roman" w:hAnsi="Times New Roman"/>
                <w:sz w:val="24"/>
              </w:rPr>
              <w:t xml:space="preserve">Art. 26e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8</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rozporządzenia (UE) 2017/2402</w:t>
            </w:r>
          </w:p>
          <w:p w14:paraId="382191B5" w14:textId="06E1EC63"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inne rodzaje zabezpieczeń: dłużne papiery wartościowe niezgodne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6e rozporządzenia (UE) 2017/2402 </w:t>
            </w:r>
          </w:p>
          <w:p w14:paraId="7ADFAAB6" w14:textId="1D7AD14A"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inne rodzaje zabezpieczeń: środki pieniężne niezgodne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6e rozporządzenia (UE) 2017/2402 </w:t>
            </w:r>
          </w:p>
          <w:p w14:paraId="71A4FFC6" w14:textId="0F4C570D"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brak zabezpieczenia, brak zgodności</w:t>
            </w:r>
            <w:r w:rsidR="00FC4B69">
              <w:rPr>
                <w:rFonts w:ascii="Times New Roman" w:hAnsi="Times New Roman"/>
                <w:sz w:val="24"/>
              </w:rPr>
              <w:t xml:space="preserve"> z kry</w:t>
            </w:r>
            <w:r>
              <w:rPr>
                <w:rFonts w:ascii="Times New Roman" w:hAnsi="Times New Roman"/>
                <w:sz w:val="24"/>
              </w:rPr>
              <w:t>teriami STS dla sekurytyzacji bilansowych</w:t>
            </w:r>
            <w:r>
              <w:t xml:space="preserve"> </w:t>
            </w:r>
            <w:r>
              <w:br/>
            </w:r>
            <w:r>
              <w:rPr>
                <w:rFonts w:ascii="Times New Roman" w:hAnsi="Times New Roman"/>
                <w:sz w:val="24"/>
              </w:rPr>
              <w:t xml:space="preserve">Przypadki inne niż brak zabezpieczenia, ale inwestor kwalifikuje się do wagi ryzyka równej </w:t>
            </w:r>
            <w:r w:rsidRPr="00FC4B69">
              <w:rPr>
                <w:rFonts w:ascii="Times New Roman" w:hAnsi="Times New Roman"/>
                <w:sz w:val="24"/>
              </w:rPr>
              <w:t>0</w:t>
            </w:r>
            <w:r w:rsidR="00FC4B69" w:rsidRPr="00FC4B69">
              <w:t> </w:t>
            </w:r>
            <w:r w:rsidRPr="00FC4B69">
              <w:rPr>
                <w:rFonts w:ascii="Times New Roman" w:hAnsi="Times New Roman"/>
                <w:sz w:val="24"/>
              </w:rPr>
              <w:t>%</w:t>
            </w:r>
            <w:r>
              <w:rPr>
                <w:rFonts w:ascii="Times New Roman" w:hAnsi="Times New Roman"/>
                <w:sz w:val="24"/>
              </w:rPr>
              <w:t xml:space="preserve"> lub korzysta on</w:t>
            </w:r>
            <w:r w:rsidR="00FC4B69">
              <w:rPr>
                <w:rFonts w:ascii="Times New Roman" w:hAnsi="Times New Roman"/>
                <w:sz w:val="24"/>
              </w:rPr>
              <w:t xml:space="preserve"> z kon</w:t>
            </w:r>
            <w:r>
              <w:rPr>
                <w:rFonts w:ascii="Times New Roman" w:hAnsi="Times New Roman"/>
                <w:sz w:val="24"/>
              </w:rPr>
              <w:t xml:space="preserve">trgwarancji podmiotu, który kwalifikuje się do wagi ryzyka równej </w:t>
            </w:r>
            <w:r w:rsidRPr="00FC4B69">
              <w:rPr>
                <w:rFonts w:ascii="Times New Roman" w:hAnsi="Times New Roman"/>
                <w:sz w:val="24"/>
              </w:rPr>
              <w:t>0</w:t>
            </w:r>
            <w:r w:rsidR="00FC4B69" w:rsidRPr="00FC4B69">
              <w:t> </w:t>
            </w:r>
            <w:r w:rsidRPr="00FC4B69">
              <w:rPr>
                <w:rFonts w:ascii="Times New Roman" w:hAnsi="Times New Roman"/>
                <w:sz w:val="24"/>
              </w:rPr>
              <w:t>%</w:t>
            </w:r>
          </w:p>
          <w:p w14:paraId="61F55247" w14:textId="77777777" w:rsidR="00933ADA" w:rsidRPr="002A677E" w:rsidRDefault="00933ADA" w:rsidP="00822842">
            <w:pPr>
              <w:spacing w:before="0" w:after="0"/>
              <w:jc w:val="left"/>
              <w:rPr>
                <w:rFonts w:ascii="Times New Roman" w:hAnsi="Times New Roman"/>
                <w:sz w:val="24"/>
              </w:rPr>
            </w:pPr>
          </w:p>
          <w:p w14:paraId="1B6257AB" w14:textId="515BD7BF" w:rsidR="00933ADA" w:rsidRPr="002A677E" w:rsidRDefault="00933ADA" w:rsidP="00822842">
            <w:pPr>
              <w:spacing w:before="0" w:after="0"/>
              <w:jc w:val="left"/>
              <w:rPr>
                <w:rFonts w:ascii="Times New Roman" w:hAnsi="Times New Roman"/>
                <w:sz w:val="24"/>
              </w:rPr>
            </w:pPr>
            <w:r>
              <w:rPr>
                <w:rFonts w:ascii="Times New Roman" w:hAnsi="Times New Roman"/>
                <w:sz w:val="24"/>
              </w:rPr>
              <w:t>Kolumnę tę zgłasza się wyłącznie</w:t>
            </w:r>
            <w:r w:rsidR="00FC4B69">
              <w:rPr>
                <w:rFonts w:ascii="Times New Roman" w:hAnsi="Times New Roman"/>
                <w:sz w:val="24"/>
              </w:rPr>
              <w:t xml:space="preserve"> w prz</w:t>
            </w:r>
            <w:r>
              <w:rPr>
                <w:rFonts w:ascii="Times New Roman" w:hAnsi="Times New Roman"/>
                <w:sz w:val="24"/>
              </w:rPr>
              <w:t>ypadku, gdy kolumna 0040 jest zgłaszana jako „Transakcja syntetyczna”.</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UTRZYMANIE</w:t>
            </w:r>
          </w:p>
          <w:p w14:paraId="3B8B2BF6" w14:textId="77777777" w:rsidR="00933ADA" w:rsidRPr="002A677E" w:rsidRDefault="00933ADA" w:rsidP="00822842">
            <w:pPr>
              <w:spacing w:before="0" w:after="0"/>
              <w:rPr>
                <w:rFonts w:ascii="Times New Roman" w:hAnsi="Times New Roman"/>
                <w:sz w:val="24"/>
              </w:rPr>
            </w:pPr>
          </w:p>
          <w:p w14:paraId="6522481E" w14:textId="0196FAFD" w:rsidR="00933ADA" w:rsidRPr="002A677E" w:rsidRDefault="00933ADA" w:rsidP="00822842">
            <w:pPr>
              <w:spacing w:before="0"/>
              <w:rPr>
                <w:rFonts w:ascii="Times New Roman" w:hAnsi="Times New Roman"/>
                <w:sz w:val="24"/>
              </w:rPr>
            </w:pPr>
            <w:r>
              <w:rPr>
                <w:rFonts w:ascii="Times New Roman" w:hAnsi="Times New Roman"/>
                <w:sz w:val="24"/>
              </w:rPr>
              <w:t>Art. 6 rozporządzenia (UE) 2017/2402;</w:t>
            </w:r>
            <w:r w:rsidR="00FC4B69">
              <w:rPr>
                <w:rFonts w:ascii="Times New Roman" w:hAnsi="Times New Roman"/>
                <w:sz w:val="24"/>
              </w:rPr>
              <w:t xml:space="preserve"> w prz</w:t>
            </w:r>
            <w:r>
              <w:rPr>
                <w:rFonts w:ascii="Times New Roman" w:hAnsi="Times New Roman"/>
                <w:sz w:val="24"/>
              </w:rPr>
              <w:t xml:space="preserve">ypadku art. 43 ust. 6 rozporządzenia (UE) 2017/2402 zastosowanie ma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05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wer</w:t>
            </w:r>
            <w:r>
              <w:rPr>
                <w:rFonts w:ascii="Times New Roman" w:hAnsi="Times New Roman"/>
                <w:sz w:val="24"/>
              </w:rPr>
              <w:t>sji tego rozporządzenia mającej zastosowanie</w:t>
            </w:r>
            <w:r w:rsidR="00FC4B69">
              <w:rPr>
                <w:rFonts w:ascii="Times New Roman" w:hAnsi="Times New Roman"/>
                <w:sz w:val="24"/>
              </w:rPr>
              <w:t xml:space="preserve"> w dni</w:t>
            </w:r>
            <w:r>
              <w:rPr>
                <w:rFonts w:ascii="Times New Roman" w:hAnsi="Times New Roman"/>
                <w:sz w:val="24"/>
              </w:rPr>
              <w:t>u 31 grudnia 20</w:t>
            </w:r>
            <w:r w:rsidRPr="00FC4B69">
              <w:rPr>
                <w:rFonts w:ascii="Times New Roman" w:hAnsi="Times New Roman"/>
                <w:sz w:val="24"/>
              </w:rPr>
              <w:t>18</w:t>
            </w:r>
            <w:r w:rsidR="00FC4B69" w:rsidRPr="00FC4B69">
              <w:rPr>
                <w:rFonts w:ascii="Times New Roman" w:hAnsi="Times New Roman"/>
                <w:sz w:val="24"/>
              </w:rPr>
              <w:t> </w:t>
            </w:r>
            <w:r w:rsidRPr="00FC4B69">
              <w:rPr>
                <w:rFonts w:ascii="Times New Roman" w:hAnsi="Times New Roman"/>
                <w:sz w:val="24"/>
              </w:rPr>
              <w:t>r.</w:t>
            </w:r>
            <w:r>
              <w:rPr>
                <w:rFonts w:ascii="Times New Roman" w:hAnsi="Times New Roman"/>
                <w:sz w:val="24"/>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RODZAJ STOSOWANEGO UTRZYMANIA</w:t>
            </w:r>
          </w:p>
          <w:p w14:paraId="05AAD76D" w14:textId="77777777" w:rsidR="00933ADA" w:rsidRPr="002A677E" w:rsidRDefault="00933ADA" w:rsidP="00822842">
            <w:pPr>
              <w:spacing w:before="0" w:after="0"/>
              <w:jc w:val="left"/>
              <w:rPr>
                <w:rFonts w:ascii="Times New Roman" w:hAnsi="Times New Roman"/>
                <w:sz w:val="24"/>
              </w:rPr>
            </w:pPr>
          </w:p>
          <w:p w14:paraId="0617207B" w14:textId="7BEC371A" w:rsidR="00933ADA" w:rsidRPr="002A677E" w:rsidRDefault="00933ADA" w:rsidP="00822842">
            <w:pPr>
              <w:spacing w:before="0" w:after="0"/>
              <w:rPr>
                <w:rFonts w:ascii="Times New Roman" w:hAnsi="Times New Roman"/>
                <w:sz w:val="24"/>
              </w:rPr>
            </w:pPr>
            <w:r>
              <w:rPr>
                <w:rFonts w:ascii="Times New Roman" w:hAnsi="Times New Roman"/>
                <w:sz w:val="24"/>
              </w:rPr>
              <w:t>W odniesieniu do każdego zainicjowanego programu sekurytyzacyjnego zgłasza się odpowiedni rodzaj utrzymywania udziału gospodarczego netto, jak przewidziano</w:t>
            </w:r>
            <w:r w:rsidR="00FC4B69">
              <w:rPr>
                <w:rFonts w:ascii="Times New Roman" w:hAnsi="Times New Roman"/>
                <w:sz w:val="24"/>
              </w:rPr>
              <w:t xml:space="preserve"> w art</w:t>
            </w:r>
            <w:r>
              <w:rPr>
                <w:rFonts w:ascii="Times New Roman" w:hAnsi="Times New Roman"/>
                <w:sz w:val="24"/>
              </w:rPr>
              <w:t>. 6 rozporządzenia (UE) 2017/2402:</w:t>
            </w:r>
          </w:p>
          <w:p w14:paraId="4045C4C8" w14:textId="77777777" w:rsidR="00933ADA" w:rsidRPr="002A677E" w:rsidRDefault="00933ADA" w:rsidP="00822842">
            <w:pPr>
              <w:spacing w:before="0" w:after="0"/>
              <w:rPr>
                <w:rFonts w:ascii="Times New Roman" w:hAnsi="Times New Roman"/>
                <w:sz w:val="24"/>
              </w:rPr>
            </w:pPr>
          </w:p>
          <w:p w14:paraId="4F9B0C0A" w14:textId="2A324C18" w:rsidR="00933ADA" w:rsidRPr="002A677E" w:rsidRDefault="00933ADA" w:rsidP="00822842">
            <w:pPr>
              <w:spacing w:before="0" w:after="0"/>
              <w:rPr>
                <w:rFonts w:ascii="Times New Roman" w:hAnsi="Times New Roman"/>
                <w:sz w:val="24"/>
              </w:rPr>
            </w:pPr>
            <w:r>
              <w:rPr>
                <w:rFonts w:ascii="Times New Roman" w:hAnsi="Times New Roman"/>
                <w:sz w:val="24"/>
              </w:rPr>
              <w:t xml:space="preserve">A – pionowy segment (pozycje sekurytyzacyjne): </w:t>
            </w:r>
            <w:r>
              <w:rPr>
                <w:rFonts w:ascii="Times New Roman" w:hAnsi="Times New Roman"/>
                <w:i/>
                <w:sz w:val="24"/>
              </w:rPr>
              <w:t xml:space="preserve">„utrzymywanie nie mniej niż </w:t>
            </w:r>
            <w:r w:rsidRPr="00FC4B69">
              <w:rPr>
                <w:rFonts w:ascii="Times New Roman" w:hAnsi="Times New Roman"/>
                <w:i/>
                <w:sz w:val="24"/>
              </w:rPr>
              <w:t>5</w:t>
            </w:r>
            <w:r w:rsidR="00FC4B69" w:rsidRPr="00FC4B69">
              <w:rPr>
                <w:rFonts w:ascii="Times New Roman" w:hAnsi="Times New Roman"/>
                <w:i/>
                <w:sz w:val="24"/>
              </w:rPr>
              <w:t> </w:t>
            </w:r>
            <w:r w:rsidRPr="00FC4B69">
              <w:rPr>
                <w:rFonts w:ascii="Times New Roman" w:hAnsi="Times New Roman"/>
                <w:i/>
                <w:sz w:val="24"/>
              </w:rPr>
              <w:t>%</w:t>
            </w:r>
            <w:r>
              <w:rPr>
                <w:rFonts w:ascii="Times New Roman" w:hAnsi="Times New Roman"/>
                <w:i/>
                <w:sz w:val="24"/>
              </w:rPr>
              <w:t xml:space="preserve"> wartości nominalnej każdej transzy sprzedanej lub przekazanej inwestorom”;</w:t>
            </w:r>
          </w:p>
          <w:p w14:paraId="0A29BE3E" w14:textId="77777777" w:rsidR="00933ADA" w:rsidRPr="002A677E" w:rsidRDefault="00933ADA" w:rsidP="00822842">
            <w:pPr>
              <w:spacing w:before="0" w:after="0"/>
              <w:rPr>
                <w:rFonts w:ascii="Times New Roman" w:hAnsi="Times New Roman"/>
                <w:sz w:val="24"/>
              </w:rPr>
            </w:pPr>
          </w:p>
          <w:p w14:paraId="7E74057F" w14:textId="63DC983A" w:rsidR="00933ADA" w:rsidRPr="002A677E" w:rsidRDefault="00933ADA" w:rsidP="00822842">
            <w:pPr>
              <w:spacing w:before="0" w:after="0"/>
              <w:rPr>
                <w:rFonts w:ascii="Times New Roman" w:hAnsi="Times New Roman"/>
                <w:sz w:val="24"/>
              </w:rPr>
            </w:pPr>
            <w:r>
              <w:rPr>
                <w:rFonts w:ascii="Times New Roman" w:hAnsi="Times New Roman"/>
                <w:sz w:val="24"/>
              </w:rPr>
              <w:t xml:space="preserve">V – pionowy segment (sekurytyzowane ekspozycje): utrzymywanie nie mniej niż </w:t>
            </w:r>
            <w:r w:rsidRPr="00FC4B69">
              <w:rPr>
                <w:rFonts w:ascii="Times New Roman" w:hAnsi="Times New Roman"/>
                <w:sz w:val="24"/>
              </w:rPr>
              <w:t>5</w:t>
            </w:r>
            <w:r w:rsidR="00FC4B69" w:rsidRPr="00FC4B69">
              <w:rPr>
                <w:rFonts w:ascii="Times New Roman" w:hAnsi="Times New Roman"/>
                <w:sz w:val="24"/>
              </w:rPr>
              <w:t> </w:t>
            </w:r>
            <w:r w:rsidRPr="00FC4B69">
              <w:rPr>
                <w:rFonts w:ascii="Times New Roman" w:hAnsi="Times New Roman"/>
                <w:sz w:val="24"/>
              </w:rPr>
              <w:t>%</w:t>
            </w:r>
            <w:r>
              <w:rPr>
                <w:rFonts w:ascii="Times New Roman" w:hAnsi="Times New Roman"/>
                <w:sz w:val="24"/>
              </w:rPr>
              <w:t xml:space="preserve"> ryzyka kredytowego</w:t>
            </w:r>
            <w:r w:rsidR="00FC4B69">
              <w:rPr>
                <w:rFonts w:ascii="Times New Roman" w:hAnsi="Times New Roman"/>
                <w:sz w:val="24"/>
              </w:rPr>
              <w:t xml:space="preserve"> w odn</w:t>
            </w:r>
            <w:r>
              <w:rPr>
                <w:rFonts w:ascii="Times New Roman" w:hAnsi="Times New Roman"/>
                <w:sz w:val="24"/>
              </w:rPr>
              <w:t>iesieniu do każdej sekurytyzowanej ekspozycji, gdy ryzyko kredytowe utrzymywane</w:t>
            </w:r>
            <w:r w:rsidR="00FC4B69">
              <w:rPr>
                <w:rFonts w:ascii="Times New Roman" w:hAnsi="Times New Roman"/>
                <w:sz w:val="24"/>
              </w:rPr>
              <w:t xml:space="preserve"> w ten</w:t>
            </w:r>
            <w:r>
              <w:rPr>
                <w:rFonts w:ascii="Times New Roman" w:hAnsi="Times New Roman"/>
                <w:sz w:val="24"/>
              </w:rPr>
              <w:t xml:space="preserve"> sposób</w:t>
            </w:r>
            <w:r w:rsidR="00FC4B69">
              <w:rPr>
                <w:rFonts w:ascii="Times New Roman" w:hAnsi="Times New Roman"/>
                <w:sz w:val="24"/>
              </w:rPr>
              <w:t xml:space="preserve"> w odn</w:t>
            </w:r>
            <w:r>
              <w:rPr>
                <w:rFonts w:ascii="Times New Roman" w:hAnsi="Times New Roman"/>
                <w:sz w:val="24"/>
              </w:rPr>
              <w:t>iesieniu do tych ekspozycji zawsze jest równe ryzyku kredytowemu sekurytyzowanemu</w:t>
            </w:r>
            <w:r w:rsidR="00FC4B69">
              <w:rPr>
                <w:rFonts w:ascii="Times New Roman" w:hAnsi="Times New Roman"/>
                <w:sz w:val="24"/>
              </w:rPr>
              <w:t xml:space="preserve"> w odn</w:t>
            </w:r>
            <w:r>
              <w:rPr>
                <w:rFonts w:ascii="Times New Roman" w:hAnsi="Times New Roman"/>
                <w:sz w:val="24"/>
              </w:rPr>
              <w:t>iesieniu do tych samych ekspozycji lub niższe;</w:t>
            </w:r>
          </w:p>
          <w:p w14:paraId="4403C316" w14:textId="77777777" w:rsidR="00933ADA" w:rsidRPr="002A677E" w:rsidRDefault="00933ADA" w:rsidP="00822842">
            <w:pPr>
              <w:spacing w:before="0" w:after="0"/>
              <w:rPr>
                <w:rFonts w:ascii="Times New Roman" w:hAnsi="Times New Roman"/>
                <w:sz w:val="24"/>
              </w:rPr>
            </w:pPr>
          </w:p>
          <w:p w14:paraId="5F5FF6D6" w14:textId="776E53DB" w:rsidR="00933ADA" w:rsidRPr="002A677E" w:rsidRDefault="00933ADA" w:rsidP="00822842">
            <w:pPr>
              <w:spacing w:before="0" w:after="0"/>
              <w:rPr>
                <w:rFonts w:ascii="Times New Roman" w:hAnsi="Times New Roman"/>
                <w:sz w:val="24"/>
              </w:rPr>
            </w:pPr>
            <w:r>
              <w:rPr>
                <w:rFonts w:ascii="Times New Roman" w:hAnsi="Times New Roman"/>
                <w:sz w:val="24"/>
              </w:rPr>
              <w:t>B – ekspozycje odnawialne: „</w:t>
            </w:r>
            <w:r>
              <w:rPr>
                <w:rFonts w:ascii="Times New Roman" w:hAnsi="Times New Roman"/>
                <w:i/>
                <w:sz w:val="24"/>
              </w:rPr>
              <w:t xml:space="preserve">w przypadku sekurytyzacji ekspozycji odnawialnych – utrzymywanie przez jednostkę inicjującą udziału wynoszącego co najmniej </w:t>
            </w:r>
            <w:r w:rsidRPr="00FC4B69">
              <w:rPr>
                <w:rFonts w:ascii="Times New Roman" w:hAnsi="Times New Roman"/>
                <w:i/>
                <w:sz w:val="24"/>
              </w:rPr>
              <w:t>5</w:t>
            </w:r>
            <w:r w:rsidR="00FC4B69" w:rsidRPr="00FC4B69">
              <w:rPr>
                <w:rFonts w:ascii="Times New Roman" w:hAnsi="Times New Roman"/>
                <w:i/>
                <w:sz w:val="24"/>
              </w:rPr>
              <w:t> </w:t>
            </w:r>
            <w:r w:rsidRPr="00FC4B69">
              <w:rPr>
                <w:rFonts w:ascii="Times New Roman" w:hAnsi="Times New Roman"/>
                <w:i/>
                <w:sz w:val="24"/>
              </w:rPr>
              <w:t>%</w:t>
            </w:r>
            <w:r>
              <w:rPr>
                <w:rFonts w:ascii="Times New Roman" w:hAnsi="Times New Roman"/>
                <w:i/>
                <w:sz w:val="24"/>
              </w:rPr>
              <w:t xml:space="preserve"> wartości nominalnej sekurytyzowanych ekspozycji</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18B55259" w:rsidR="00933ADA" w:rsidRPr="002A677E" w:rsidRDefault="00933ADA" w:rsidP="00822842">
            <w:pPr>
              <w:spacing w:before="0" w:after="0"/>
              <w:rPr>
                <w:rFonts w:ascii="Times New Roman" w:hAnsi="Times New Roman"/>
                <w:sz w:val="24"/>
              </w:rPr>
            </w:pPr>
            <w:r>
              <w:rPr>
                <w:rFonts w:ascii="Times New Roman" w:hAnsi="Times New Roman"/>
                <w:sz w:val="24"/>
              </w:rPr>
              <w:t>C – pozycje bilansowe: „</w:t>
            </w:r>
            <w:r>
              <w:rPr>
                <w:rFonts w:ascii="Times New Roman" w:hAnsi="Times New Roman"/>
                <w:i/>
                <w:sz w:val="24"/>
              </w:rPr>
              <w:t xml:space="preserve">utrzymywanie losowo wybranych ekspozycji odpowiadających nie mniej niż </w:t>
            </w:r>
            <w:r w:rsidRPr="00FC4B69">
              <w:rPr>
                <w:rFonts w:ascii="Times New Roman" w:hAnsi="Times New Roman"/>
                <w:i/>
                <w:sz w:val="24"/>
              </w:rPr>
              <w:t>5</w:t>
            </w:r>
            <w:r w:rsidR="00FC4B69" w:rsidRPr="00FC4B69">
              <w:rPr>
                <w:rFonts w:ascii="Times New Roman" w:hAnsi="Times New Roman"/>
                <w:i/>
                <w:sz w:val="24"/>
              </w:rPr>
              <w:t> </w:t>
            </w:r>
            <w:r w:rsidRPr="00FC4B69">
              <w:rPr>
                <w:rFonts w:ascii="Times New Roman" w:hAnsi="Times New Roman"/>
                <w:i/>
                <w:sz w:val="24"/>
              </w:rPr>
              <w:t>%</w:t>
            </w:r>
            <w:r>
              <w:rPr>
                <w:rFonts w:ascii="Times New Roman" w:hAnsi="Times New Roman"/>
                <w:i/>
                <w:sz w:val="24"/>
              </w:rPr>
              <w:t xml:space="preserve"> wartości nominalnej sekurytyzowanych ekspozycji, jeżeli</w:t>
            </w:r>
            <w:r w:rsidR="00FC4B69">
              <w:rPr>
                <w:rFonts w:ascii="Times New Roman" w:hAnsi="Times New Roman"/>
                <w:i/>
                <w:sz w:val="24"/>
              </w:rPr>
              <w:t xml:space="preserve"> w prz</w:t>
            </w:r>
            <w:r>
              <w:rPr>
                <w:rFonts w:ascii="Times New Roman" w:hAnsi="Times New Roman"/>
                <w:i/>
                <w:sz w:val="24"/>
              </w:rPr>
              <w:t>eciwnym wypadku ekspozycje takie byłyby sekurytyzowane</w:t>
            </w:r>
            <w:r w:rsidR="00FC4B69">
              <w:rPr>
                <w:rFonts w:ascii="Times New Roman" w:hAnsi="Times New Roman"/>
                <w:i/>
                <w:sz w:val="24"/>
              </w:rPr>
              <w:t xml:space="preserve"> w dan</w:t>
            </w:r>
            <w:r>
              <w:rPr>
                <w:rFonts w:ascii="Times New Roman" w:hAnsi="Times New Roman"/>
                <w:i/>
                <w:sz w:val="24"/>
              </w:rPr>
              <w:t>ej sekurytyzacji, pod warunkiem że liczba potencjalnych sekurytyzowanych ekspozycji jest pierwotnie nie mniejsza niż 100</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1DE20F9D" w:rsidR="00933ADA" w:rsidRPr="002A677E" w:rsidRDefault="00933ADA" w:rsidP="00822842">
            <w:pPr>
              <w:spacing w:before="0" w:after="0"/>
              <w:rPr>
                <w:rFonts w:ascii="Times New Roman" w:hAnsi="Times New Roman"/>
                <w:sz w:val="24"/>
              </w:rPr>
            </w:pPr>
            <w:r>
              <w:rPr>
                <w:rFonts w:ascii="Times New Roman" w:hAnsi="Times New Roman"/>
                <w:sz w:val="24"/>
              </w:rPr>
              <w:t>D – pierwsza strata: „</w:t>
            </w:r>
            <w:r>
              <w:rPr>
                <w:rFonts w:ascii="Times New Roman" w:hAnsi="Times New Roman"/>
                <w:i/>
                <w:sz w:val="24"/>
              </w:rPr>
              <w:t>utrzymywanie transzy pierwszej straty oraz</w:t>
            </w:r>
            <w:r w:rsidR="00FC4B69">
              <w:rPr>
                <w:rFonts w:ascii="Times New Roman" w:hAnsi="Times New Roman"/>
                <w:i/>
                <w:sz w:val="24"/>
              </w:rPr>
              <w:t xml:space="preserve"> w raz</w:t>
            </w:r>
            <w:r>
              <w:rPr>
                <w:rFonts w:ascii="Times New Roman" w:hAnsi="Times New Roman"/>
                <w:i/>
                <w:sz w:val="24"/>
              </w:rPr>
              <w:t>ie potrzeby innych transzy</w:t>
            </w:r>
            <w:r w:rsidR="00FC4B69">
              <w:rPr>
                <w:rFonts w:ascii="Times New Roman" w:hAnsi="Times New Roman"/>
                <w:i/>
                <w:sz w:val="24"/>
              </w:rPr>
              <w:t xml:space="preserve"> o tak</w:t>
            </w:r>
            <w:r>
              <w:rPr>
                <w:rFonts w:ascii="Times New Roman" w:hAnsi="Times New Roman"/>
                <w:i/>
                <w:sz w:val="24"/>
              </w:rPr>
              <w:t>im samym lub wyższym profilu ryzyka niż transze przekazane lub sprzedane inwestorom</w:t>
            </w:r>
            <w:r w:rsidR="00FC4B69">
              <w:rPr>
                <w:rFonts w:ascii="Times New Roman" w:hAnsi="Times New Roman"/>
                <w:i/>
                <w:sz w:val="24"/>
              </w:rPr>
              <w:t xml:space="preserve"> i któ</w:t>
            </w:r>
            <w:r>
              <w:rPr>
                <w:rFonts w:ascii="Times New Roman" w:hAnsi="Times New Roman"/>
                <w:i/>
                <w:sz w:val="24"/>
              </w:rPr>
              <w:t xml:space="preserve">rych termin zapadalności nie jest wcześniejszy niż transzy przekazanych lub sprzedanych inwestorom, tak aby </w:t>
            </w:r>
            <w:r>
              <w:rPr>
                <w:rFonts w:ascii="Times New Roman" w:hAnsi="Times New Roman"/>
                <w:i/>
                <w:sz w:val="24"/>
              </w:rPr>
              <w:lastRenderedPageBreak/>
              <w:t xml:space="preserve">utrzymana wartość wynosiła ogółem nie mniej niż </w:t>
            </w:r>
            <w:r w:rsidRPr="00FC4B69">
              <w:rPr>
                <w:rFonts w:ascii="Times New Roman" w:hAnsi="Times New Roman"/>
                <w:i/>
                <w:sz w:val="24"/>
              </w:rPr>
              <w:t>5</w:t>
            </w:r>
            <w:r w:rsidR="00FC4B69" w:rsidRPr="00FC4B69">
              <w:rPr>
                <w:rFonts w:ascii="Times New Roman" w:hAnsi="Times New Roman"/>
                <w:i/>
                <w:sz w:val="24"/>
              </w:rPr>
              <w:t> </w:t>
            </w:r>
            <w:r w:rsidRPr="00FC4B69">
              <w:rPr>
                <w:rFonts w:ascii="Times New Roman" w:hAnsi="Times New Roman"/>
                <w:i/>
                <w:sz w:val="24"/>
              </w:rPr>
              <w:t>%</w:t>
            </w:r>
            <w:r>
              <w:rPr>
                <w:rFonts w:ascii="Times New Roman" w:hAnsi="Times New Roman"/>
                <w:i/>
                <w:sz w:val="24"/>
              </w:rPr>
              <w:t xml:space="preserve"> wartości nominalnej sekurytyzowanych ekspozycji</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2CEA2167" w:rsidR="00933ADA" w:rsidRPr="002A677E" w:rsidRDefault="00933ADA" w:rsidP="00822842">
            <w:pPr>
              <w:spacing w:before="0" w:after="0"/>
              <w:rPr>
                <w:rFonts w:ascii="Times New Roman" w:hAnsi="Times New Roman"/>
                <w:sz w:val="24"/>
              </w:rPr>
            </w:pPr>
            <w:r>
              <w:rPr>
                <w:rFonts w:ascii="Times New Roman" w:hAnsi="Times New Roman"/>
                <w:sz w:val="24"/>
              </w:rPr>
              <w:t>E – wyłączone. Kod ten zgłasza się</w:t>
            </w:r>
            <w:r w:rsidR="00FC4B69">
              <w:rPr>
                <w:rFonts w:ascii="Times New Roman" w:hAnsi="Times New Roman"/>
                <w:sz w:val="24"/>
              </w:rPr>
              <w:t xml:space="preserve"> w odn</w:t>
            </w:r>
            <w:r>
              <w:rPr>
                <w:rFonts w:ascii="Times New Roman" w:hAnsi="Times New Roman"/>
                <w:sz w:val="24"/>
              </w:rPr>
              <w:t xml:space="preserve">iesieniu do sekurytyzacji objętych zastosowaniem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rozporządzenia (UE) 2017/2402 lub wyłączonych</w:t>
            </w:r>
            <w:r w:rsidR="00FC4B69">
              <w:rPr>
                <w:rFonts w:ascii="Times New Roman" w:hAnsi="Times New Roman"/>
                <w:sz w:val="24"/>
              </w:rPr>
              <w:t xml:space="preserve"> z zak</w:t>
            </w:r>
            <w:r>
              <w:rPr>
                <w:rFonts w:ascii="Times New Roman" w:hAnsi="Times New Roman"/>
                <w:sz w:val="24"/>
              </w:rPr>
              <w:t xml:space="preserve">resu stosowania wymogu utrzymania na podstawie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3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rozporządzenia (UE) 2017/2402;</w:t>
            </w:r>
          </w:p>
          <w:p w14:paraId="685CC39A" w14:textId="77777777" w:rsidR="00933ADA" w:rsidRPr="002A677E" w:rsidRDefault="00933ADA" w:rsidP="00822842">
            <w:pPr>
              <w:spacing w:before="0" w:after="0"/>
              <w:rPr>
                <w:rFonts w:ascii="Times New Roman" w:hAnsi="Times New Roman"/>
                <w:sz w:val="24"/>
              </w:rPr>
            </w:pPr>
          </w:p>
          <w:p w14:paraId="49C8C8D5" w14:textId="69FC537E" w:rsidR="00933ADA" w:rsidRPr="002A677E" w:rsidRDefault="00933ADA" w:rsidP="00822842">
            <w:pPr>
              <w:spacing w:before="0" w:after="0"/>
              <w:rPr>
                <w:rFonts w:ascii="Times New Roman" w:hAnsi="Times New Roman"/>
                <w:sz w:val="24"/>
              </w:rPr>
            </w:pPr>
            <w:r>
              <w:rPr>
                <w:rFonts w:ascii="Times New Roman" w:hAnsi="Times New Roman"/>
                <w:sz w:val="24"/>
              </w:rPr>
              <w:t>U – naruszenie lub dane nieznane. Kod ten zgłasza się, gdy instytucja sprawozdająca nie wie</w:t>
            </w:r>
            <w:r w:rsidR="00FC4B69">
              <w:rPr>
                <w:rFonts w:ascii="Times New Roman" w:hAnsi="Times New Roman"/>
                <w:sz w:val="24"/>
              </w:rPr>
              <w:t xml:space="preserve"> z cał</w:t>
            </w:r>
            <w:r>
              <w:rPr>
                <w:rFonts w:ascii="Times New Roman" w:hAnsi="Times New Roman"/>
                <w:sz w:val="24"/>
              </w:rPr>
              <w:t>ą pewnością, jaki rodzaj utrzymywania jest stosowany, lub</w:t>
            </w:r>
            <w:r w:rsidR="00FC4B69">
              <w:rPr>
                <w:rFonts w:ascii="Times New Roman" w:hAnsi="Times New Roman"/>
                <w:sz w:val="24"/>
              </w:rPr>
              <w:t xml:space="preserve"> w prz</w:t>
            </w:r>
            <w:r>
              <w:rPr>
                <w:rFonts w:ascii="Times New Roman" w:hAnsi="Times New Roman"/>
                <w:sz w:val="24"/>
              </w:rPr>
              <w:t>ypadku niezgodności</w:t>
            </w:r>
            <w:r w:rsidR="00FC4B69">
              <w:rPr>
                <w:rFonts w:ascii="Times New Roman" w:hAnsi="Times New Roman"/>
                <w:sz w:val="24"/>
              </w:rPr>
              <w:t xml:space="preserve"> z prz</w:t>
            </w:r>
            <w:r>
              <w:rPr>
                <w:rFonts w:ascii="Times New Roman" w:hAnsi="Times New Roman"/>
                <w:sz w:val="24"/>
              </w:rPr>
              <w:t>episami.</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UTRZYMANIA W DNIU SPRAWOZDAWCZYM</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Utrzymywany </w:t>
            </w:r>
            <w:r>
              <w:rPr>
                <w:rFonts w:ascii="Times New Roman" w:hAnsi="Times New Roman"/>
                <w:i/>
                <w:sz w:val="24"/>
              </w:rPr>
              <w:t>istotny udział gospodarczy netto jednostki inicjującej, jednostki sponsorującej lub pierwotnego kredytodawcy</w:t>
            </w:r>
            <w:r>
              <w:rPr>
                <w:rFonts w:ascii="Times New Roman" w:hAnsi="Times New Roman"/>
                <w:sz w:val="24"/>
              </w:rPr>
              <w:t xml:space="preserve"> jest nie mniejszy niż 5 % (w dniu powstania).</w:t>
            </w:r>
          </w:p>
          <w:p w14:paraId="3BCFDD0A" w14:textId="77777777" w:rsidR="00933ADA" w:rsidRPr="002A677E" w:rsidRDefault="00933ADA" w:rsidP="00822842">
            <w:pPr>
              <w:spacing w:before="0" w:after="0"/>
              <w:rPr>
                <w:rFonts w:ascii="Times New Roman" w:hAnsi="Times New Roman"/>
                <w:i/>
                <w:sz w:val="24"/>
              </w:rPr>
            </w:pPr>
          </w:p>
          <w:p w14:paraId="305F96DC" w14:textId="5C7968EC"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w:t>
            </w:r>
            <w:r w:rsidR="00FC4B69">
              <w:rPr>
                <w:rFonts w:ascii="Times New Roman" w:hAnsi="Times New Roman"/>
                <w:sz w:val="24"/>
              </w:rPr>
              <w:t xml:space="preserve"> w kol</w:t>
            </w:r>
            <w:r>
              <w:rPr>
                <w:rFonts w:ascii="Times New Roman" w:hAnsi="Times New Roman"/>
                <w:sz w:val="24"/>
              </w:rPr>
              <w:t>umnie 0080 (Rodzaj stosowanego utrzymania) zgłoszono kod „E” (wyłączone).</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ZGODNOŚĆ Z WYMOGIEM DOTYCZĄCYM UTRZYMANIA?</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Instytucje zgłaszają następujące skróty:</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T</w:t>
            </w:r>
            <w:r>
              <w:tab/>
            </w:r>
            <w:r>
              <w:rPr>
                <w:rFonts w:ascii="Times New Roman" w:hAnsi="Times New Roman"/>
                <w:sz w:val="24"/>
              </w:rPr>
              <w:t>-</w:t>
            </w:r>
            <w:r>
              <w:tab/>
            </w:r>
            <w:r>
              <w:rPr>
                <w:rFonts w:ascii="Times New Roman" w:hAnsi="Times New Roman"/>
                <w:sz w:val="24"/>
              </w:rPr>
              <w:t>Tak;</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Nie.</w:t>
            </w:r>
          </w:p>
          <w:p w14:paraId="29730459" w14:textId="77777777" w:rsidR="00933ADA" w:rsidRPr="002A677E" w:rsidRDefault="00933ADA" w:rsidP="00822842">
            <w:pPr>
              <w:spacing w:before="0" w:after="0"/>
              <w:jc w:val="left"/>
              <w:rPr>
                <w:rFonts w:ascii="Times New Roman" w:hAnsi="Times New Roman"/>
                <w:sz w:val="24"/>
              </w:rPr>
            </w:pPr>
          </w:p>
          <w:p w14:paraId="3C7A9CC1" w14:textId="578BCFDF"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Kolumny tej nie zgłasza się, gdy</w:t>
            </w:r>
            <w:r w:rsidR="00FC4B69">
              <w:rPr>
                <w:rFonts w:ascii="Times New Roman" w:hAnsi="Times New Roman"/>
                <w:sz w:val="24"/>
              </w:rPr>
              <w:t xml:space="preserve"> w kol</w:t>
            </w:r>
            <w:r>
              <w:rPr>
                <w:rFonts w:ascii="Times New Roman" w:hAnsi="Times New Roman"/>
                <w:sz w:val="24"/>
              </w:rPr>
              <w:t>umnie 0080 (Rodzaj stosowanego utrzymania) zgłoszono kod „E” (wyłączone).</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PROGRAMY INNE NIŻ PROGRAM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0AB1612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 uwagi na szczególną naturę programów ABCP wynikającą</w:t>
            </w:r>
            <w:r w:rsidR="00FC4B69">
              <w:rPr>
                <w:rFonts w:ascii="Times New Roman" w:hAnsi="Times New Roman"/>
                <w:sz w:val="24"/>
              </w:rPr>
              <w:t xml:space="preserve"> z fak</w:t>
            </w:r>
            <w:r>
              <w:rPr>
                <w:rFonts w:ascii="Times New Roman" w:hAnsi="Times New Roman"/>
                <w:sz w:val="24"/>
              </w:rPr>
              <w:t>tu, że składają się</w:t>
            </w:r>
            <w:r w:rsidR="00FC4B69">
              <w:rPr>
                <w:rFonts w:ascii="Times New Roman" w:hAnsi="Times New Roman"/>
                <w:sz w:val="24"/>
              </w:rPr>
              <w:t xml:space="preserve"> z kil</w:t>
            </w:r>
            <w:r>
              <w:rPr>
                <w:rFonts w:ascii="Times New Roman" w:hAnsi="Times New Roman"/>
                <w:sz w:val="24"/>
              </w:rPr>
              <w:t>ku pojedynczych pozycji sekurytyzacyjnych, programy ABCP (jak określono</w:t>
            </w:r>
            <w:r w:rsidR="00FC4B69">
              <w:rPr>
                <w:rFonts w:ascii="Times New Roman" w:hAnsi="Times New Roman"/>
                <w:sz w:val="24"/>
              </w:rPr>
              <w:t xml:space="preserve"> w art</w:t>
            </w:r>
            <w:r>
              <w:rPr>
                <w:rFonts w:ascii="Times New Roman" w:hAnsi="Times New Roman"/>
                <w:sz w:val="24"/>
              </w:rPr>
              <w:t xml:space="preserve">. 242 ust. 11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wyłączone są</w:t>
            </w:r>
            <w:r w:rsidR="00FC4B69">
              <w:rPr>
                <w:rFonts w:ascii="Times New Roman" w:hAnsi="Times New Roman"/>
                <w:sz w:val="24"/>
              </w:rPr>
              <w:t xml:space="preserve"> z obo</w:t>
            </w:r>
            <w:r>
              <w:rPr>
                <w:rFonts w:ascii="Times New Roman" w:hAnsi="Times New Roman"/>
                <w:sz w:val="24"/>
              </w:rPr>
              <w:t>wiązku zgłaszania informacji</w:t>
            </w:r>
            <w:r w:rsidR="00FC4B69">
              <w:rPr>
                <w:rFonts w:ascii="Times New Roman" w:hAnsi="Times New Roman"/>
                <w:sz w:val="24"/>
              </w:rPr>
              <w:t xml:space="preserve"> w kol</w:t>
            </w:r>
            <w:r>
              <w:rPr>
                <w:rFonts w:ascii="Times New Roman" w:hAnsi="Times New Roman"/>
                <w:sz w:val="24"/>
              </w:rPr>
              <w:t>umnach 0120, 0121</w:t>
            </w:r>
            <w:r w:rsidR="00FC4B69">
              <w:rPr>
                <w:rFonts w:ascii="Times New Roman" w:hAnsi="Times New Roman"/>
                <w:sz w:val="24"/>
              </w:rPr>
              <w:t xml:space="preserve"> i 0</w:t>
            </w:r>
            <w:r>
              <w:rPr>
                <w:rFonts w:ascii="Times New Roman" w:hAnsi="Times New Roman"/>
                <w:sz w:val="24"/>
              </w:rPr>
              <w:t>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DZIEŃ POWSTANIA (rrrr-mm-dd)</w:t>
            </w:r>
          </w:p>
          <w:p w14:paraId="75562F80" w14:textId="77777777" w:rsidR="00933ADA" w:rsidRPr="002A677E" w:rsidRDefault="00933ADA" w:rsidP="00822842">
            <w:pPr>
              <w:spacing w:before="0" w:after="0"/>
              <w:jc w:val="left"/>
              <w:rPr>
                <w:rFonts w:ascii="Times New Roman" w:hAnsi="Times New Roman"/>
                <w:sz w:val="24"/>
              </w:rPr>
            </w:pPr>
          </w:p>
          <w:p w14:paraId="06693B43" w14:textId="019F973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Miesiąc</w:t>
            </w:r>
            <w:r w:rsidR="00FC4B69">
              <w:rPr>
                <w:rFonts w:ascii="Times New Roman" w:hAnsi="Times New Roman"/>
                <w:sz w:val="24"/>
              </w:rPr>
              <w:t xml:space="preserve"> i rok</w:t>
            </w:r>
            <w:r>
              <w:rPr>
                <w:rFonts w:ascii="Times New Roman" w:hAnsi="Times New Roman"/>
                <w:sz w:val="24"/>
              </w:rPr>
              <w:t xml:space="preserve"> dnia powstania (np. data graniczna lub data zamknięcia puli) sekurytyzacji zgłasza</w:t>
            </w:r>
            <w:r w:rsidR="00FC4B69">
              <w:rPr>
                <w:rFonts w:ascii="Times New Roman" w:hAnsi="Times New Roman"/>
                <w:sz w:val="24"/>
              </w:rPr>
              <w:t xml:space="preserve"> w nas</w:t>
            </w:r>
            <w:r>
              <w:rPr>
                <w:rFonts w:ascii="Times New Roman" w:hAnsi="Times New Roman"/>
                <w:sz w:val="24"/>
              </w:rPr>
              <w:t>tępującym formacie: „mm/rrrr”.</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2C8B21C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każdego programu sekurytyzacyjnego dzień powstania nie może ulec zmianie między poszczególnymi dniami sprawozdawczymi</w:t>
            </w:r>
            <w:r w:rsidR="00FC4B69">
              <w:rPr>
                <w:rFonts w:ascii="Times New Roman" w:hAnsi="Times New Roman"/>
                <w:sz w:val="24"/>
              </w:rPr>
              <w:t>. W szc</w:t>
            </w:r>
            <w:r>
              <w:rPr>
                <w:rFonts w:ascii="Times New Roman" w:hAnsi="Times New Roman"/>
                <w:sz w:val="24"/>
              </w:rPr>
              <w:t xml:space="preserve">zególnym przypadku programów sekurytyzacyjnych opartych na pulach otwartych dniem powstania jest data pierwszej emisji papierów wartościowych.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22E8033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ach danej sekurytyzacji.</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OSTATNIEJ EMISJI (rrrr-mm-dd)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08F3E43D" w:rsidR="00933ADA" w:rsidRPr="002A677E" w:rsidRDefault="00933ADA" w:rsidP="00822842">
            <w:pPr>
              <w:spacing w:before="0" w:after="0"/>
              <w:jc w:val="left"/>
              <w:rPr>
                <w:rFonts w:ascii="Times New Roman" w:hAnsi="Times New Roman"/>
                <w:sz w:val="24"/>
              </w:rPr>
            </w:pPr>
            <w:r>
              <w:rPr>
                <w:rFonts w:ascii="Times New Roman" w:hAnsi="Times New Roman"/>
                <w:sz w:val="24"/>
              </w:rPr>
              <w:t>Miesiąc</w:t>
            </w:r>
            <w:r w:rsidR="00FC4B69">
              <w:rPr>
                <w:rFonts w:ascii="Times New Roman" w:hAnsi="Times New Roman"/>
                <w:sz w:val="24"/>
              </w:rPr>
              <w:t xml:space="preserve"> i rok</w:t>
            </w:r>
            <w:r>
              <w:rPr>
                <w:rFonts w:ascii="Times New Roman" w:hAnsi="Times New Roman"/>
                <w:sz w:val="24"/>
              </w:rPr>
              <w:t xml:space="preserve"> dnia ostatniej emisji papierów wartościowych</w:t>
            </w:r>
            <w:r w:rsidR="00FC4B69">
              <w:rPr>
                <w:rFonts w:ascii="Times New Roman" w:hAnsi="Times New Roman"/>
                <w:sz w:val="24"/>
              </w:rPr>
              <w:t xml:space="preserve"> w ram</w:t>
            </w:r>
            <w:r>
              <w:rPr>
                <w:rFonts w:ascii="Times New Roman" w:hAnsi="Times New Roman"/>
                <w:sz w:val="24"/>
              </w:rPr>
              <w:t>ach sekurytyzacji zgłasza się</w:t>
            </w:r>
            <w:r w:rsidR="00FC4B69">
              <w:rPr>
                <w:rFonts w:ascii="Times New Roman" w:hAnsi="Times New Roman"/>
                <w:sz w:val="24"/>
              </w:rPr>
              <w:t xml:space="preserve"> w nas</w:t>
            </w:r>
            <w:r>
              <w:rPr>
                <w:rFonts w:ascii="Times New Roman" w:hAnsi="Times New Roman"/>
                <w:sz w:val="24"/>
              </w:rPr>
              <w:t>tępującym formacie: „rrrr-mm-dd”</w:t>
            </w:r>
          </w:p>
          <w:p w14:paraId="4CCEF8BC" w14:textId="77777777" w:rsidR="00933ADA" w:rsidRPr="002A677E" w:rsidRDefault="00933ADA" w:rsidP="00822842">
            <w:pPr>
              <w:spacing w:before="0" w:after="0"/>
              <w:jc w:val="left"/>
              <w:rPr>
                <w:rFonts w:ascii="Times New Roman" w:hAnsi="Times New Roman"/>
                <w:sz w:val="24"/>
              </w:rPr>
            </w:pPr>
          </w:p>
          <w:p w14:paraId="3B2925C7" w14:textId="32013386" w:rsidR="00933ADA" w:rsidRPr="002A677E" w:rsidRDefault="00933ADA" w:rsidP="00822842">
            <w:pPr>
              <w:spacing w:before="0" w:after="0"/>
              <w:jc w:val="left"/>
              <w:rPr>
                <w:rFonts w:ascii="Times New Roman" w:hAnsi="Times New Roman"/>
                <w:sz w:val="24"/>
              </w:rPr>
            </w:pPr>
            <w:r>
              <w:rPr>
                <w:rFonts w:ascii="Times New Roman" w:hAnsi="Times New Roman"/>
                <w:sz w:val="24"/>
              </w:rPr>
              <w:t>Rozporządzenie (UE) 2017/2402 ma zastosowanie wyłącznie do sekurytyzacji papierów wartościowych emitowanych</w:t>
            </w:r>
            <w:r w:rsidR="00FC4B69">
              <w:rPr>
                <w:rFonts w:ascii="Times New Roman" w:hAnsi="Times New Roman"/>
                <w:sz w:val="24"/>
              </w:rPr>
              <w:t xml:space="preserve"> w lub</w:t>
            </w:r>
            <w:r>
              <w:rPr>
                <w:rFonts w:ascii="Times New Roman" w:hAnsi="Times New Roman"/>
                <w:sz w:val="24"/>
              </w:rPr>
              <w:t xml:space="preserve"> po dniu 1 stycznia 20</w:t>
            </w:r>
            <w:r w:rsidRPr="00FC4B69">
              <w:rPr>
                <w:rFonts w:ascii="Times New Roman" w:hAnsi="Times New Roman"/>
                <w:sz w:val="24"/>
              </w:rPr>
              <w:t>19</w:t>
            </w:r>
            <w:r w:rsidR="00FC4B69" w:rsidRPr="00FC4B69">
              <w:rPr>
                <w:rFonts w:ascii="Times New Roman" w:hAnsi="Times New Roman"/>
                <w:sz w:val="24"/>
              </w:rPr>
              <w:t> </w:t>
            </w:r>
            <w:r w:rsidRPr="00FC4B69">
              <w:rPr>
                <w:rFonts w:ascii="Times New Roman" w:hAnsi="Times New Roman"/>
                <w:sz w:val="24"/>
              </w:rPr>
              <w:t>r.</w:t>
            </w:r>
            <w:r>
              <w:rPr>
                <w:rFonts w:ascii="Times New Roman" w:hAnsi="Times New Roman"/>
                <w:sz w:val="24"/>
              </w:rPr>
              <w:t xml:space="preserve"> Data ostatniej emisji papierów wartościowych określa, czy każdy program sekurytyzacyjny wchodzi</w:t>
            </w:r>
            <w:r w:rsidR="00FC4B69">
              <w:rPr>
                <w:rFonts w:ascii="Times New Roman" w:hAnsi="Times New Roman"/>
                <w:sz w:val="24"/>
              </w:rPr>
              <w:t xml:space="preserve"> w zak</w:t>
            </w:r>
            <w:r>
              <w:rPr>
                <w:rFonts w:ascii="Times New Roman" w:hAnsi="Times New Roman"/>
                <w:sz w:val="24"/>
              </w:rPr>
              <w:t>res rozporządzenia (UE)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0D352C" w:rsidR="00933ADA" w:rsidRPr="002A677E" w:rsidRDefault="00933ADA" w:rsidP="00822842">
            <w:pPr>
              <w:spacing w:before="0" w:after="0"/>
              <w:jc w:val="left"/>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ach danej sekurytyzacji.</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CAŁKOWITA KWOTA SEKURYTYZOWANYCH EKSPOZYCJI W DNIU POWSTANIA</w:t>
            </w:r>
          </w:p>
          <w:p w14:paraId="795B596E" w14:textId="77777777" w:rsidR="00933ADA" w:rsidRPr="002A677E" w:rsidRDefault="00933ADA" w:rsidP="00822842">
            <w:pPr>
              <w:spacing w:before="0" w:after="0"/>
              <w:jc w:val="left"/>
              <w:rPr>
                <w:rFonts w:ascii="Times New Roman" w:hAnsi="Times New Roman"/>
                <w:sz w:val="24"/>
              </w:rPr>
            </w:pPr>
          </w:p>
          <w:p w14:paraId="4082CFF7" w14:textId="2EC0D29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kolumnie tej przedstawia się kwotę (obliczoną na podstawie pierwotnych ekspozycji przed uwzględnieniem współczynników konwersji) sekurytyzowanego portfela</w:t>
            </w:r>
            <w:r w:rsidR="00FC4B69">
              <w:rPr>
                <w:rFonts w:ascii="Times New Roman" w:hAnsi="Times New Roman"/>
                <w:sz w:val="24"/>
              </w:rPr>
              <w:t xml:space="preserve"> w dni</w:t>
            </w:r>
            <w:r>
              <w:rPr>
                <w:rFonts w:ascii="Times New Roman" w:hAnsi="Times New Roman"/>
                <w:sz w:val="24"/>
              </w:rPr>
              <w:t xml:space="preserve">u powstania.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357D8AD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otwartych zgłasza się kwotę odnoszącą się do dnia powstania pierwszej emisji papierów wartościowych</w:t>
            </w:r>
            <w:r w:rsidR="00FC4B69">
              <w:rPr>
                <w:rFonts w:ascii="Times New Roman" w:hAnsi="Times New Roman"/>
                <w:sz w:val="24"/>
              </w:rPr>
              <w:t>. W prz</w:t>
            </w:r>
            <w:r>
              <w:rPr>
                <w:rFonts w:ascii="Times New Roman" w:hAnsi="Times New Roman"/>
                <w:sz w:val="24"/>
              </w:rPr>
              <w:t>ypadku sekurytyzacji tradycyjnych nie uwzględnia się żadnych innych aktywów puli sekurytyzacyjnej</w:t>
            </w:r>
            <w:r w:rsidR="00FC4B69">
              <w:rPr>
                <w:rFonts w:ascii="Times New Roman" w:hAnsi="Times New Roman"/>
                <w:sz w:val="24"/>
              </w:rPr>
              <w:t>. W prz</w:t>
            </w:r>
            <w:r>
              <w:rPr>
                <w:rFonts w:ascii="Times New Roman" w:hAnsi="Times New Roman"/>
                <w:sz w:val="24"/>
              </w:rPr>
              <w:t>ypadku programów sekurytyzacyjnych</w:t>
            </w:r>
            <w:r w:rsidR="00FC4B69">
              <w:rPr>
                <w:rFonts w:ascii="Times New Roman" w:hAnsi="Times New Roman"/>
                <w:sz w:val="24"/>
              </w:rPr>
              <w:t xml:space="preserve"> z wie</w:t>
            </w:r>
            <w:r>
              <w:rPr>
                <w:rFonts w:ascii="Times New Roman" w:hAnsi="Times New Roman"/>
                <w:sz w:val="24"/>
              </w:rPr>
              <w:t>loma zbywającymi (tj.</w:t>
            </w:r>
            <w:r w:rsidR="00FC4B69">
              <w:rPr>
                <w:rFonts w:ascii="Times New Roman" w:hAnsi="Times New Roman"/>
                <w:sz w:val="24"/>
              </w:rPr>
              <w:t xml:space="preserve"> z wię</w:t>
            </w:r>
            <w:r>
              <w:rPr>
                <w:rFonts w:ascii="Times New Roman" w:hAnsi="Times New Roman"/>
                <w:sz w:val="24"/>
              </w:rPr>
              <w:t>cej niż jedną jednostką inicjującą) zgłasza się tylko kwotę odpowiadającą wkładowi jednostki sprawozdającej</w:t>
            </w:r>
            <w:r w:rsidR="00FC4B69">
              <w:rPr>
                <w:rFonts w:ascii="Times New Roman" w:hAnsi="Times New Roman"/>
                <w:sz w:val="24"/>
              </w:rPr>
              <w:t xml:space="preserve"> w sek</w:t>
            </w:r>
            <w:r>
              <w:rPr>
                <w:rFonts w:ascii="Times New Roman" w:hAnsi="Times New Roman"/>
                <w:sz w:val="24"/>
              </w:rPr>
              <w:t>urytyzowany portfel</w:t>
            </w:r>
            <w:r w:rsidR="00FC4B69">
              <w:rPr>
                <w:rFonts w:ascii="Times New Roman" w:hAnsi="Times New Roman"/>
                <w:sz w:val="24"/>
              </w:rPr>
              <w:t>. W prz</w:t>
            </w:r>
            <w:r>
              <w:rPr>
                <w:rFonts w:ascii="Times New Roman" w:hAnsi="Times New Roman"/>
                <w:sz w:val="24"/>
              </w:rPr>
              <w:t>ypadku sekurytyzacji zobowiązań zgłasza się tylko kwoty wyemitowane przez jednostkę sprawozdającą.</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6CFFA8C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ach danej sekurytyzacji.</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SEKURYTYZOWANE EKSPOZYCJE</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kolumnach 0140–0225 jednostka sprawozdająca musi zgłosić informacje na temat kilku właściwości sekurytyzowanego portfela.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KWOTA CAŁKOWITA</w:t>
            </w:r>
          </w:p>
          <w:p w14:paraId="4883825D" w14:textId="77777777" w:rsidR="00933ADA" w:rsidRPr="002A677E" w:rsidRDefault="00933ADA" w:rsidP="00822842">
            <w:pPr>
              <w:spacing w:before="0" w:after="0"/>
              <w:jc w:val="left"/>
              <w:rPr>
                <w:rFonts w:ascii="Times New Roman" w:hAnsi="Times New Roman"/>
                <w:sz w:val="24"/>
              </w:rPr>
            </w:pPr>
          </w:p>
          <w:p w14:paraId="782D075E" w14:textId="13FD5E8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Instytucje zgłaszają wartość sekurytyzowanego portfela na dzień sprawozdawczy, tj. pozostającą kwotę należną sekurytyzowanych ekspozycji</w:t>
            </w:r>
            <w:r w:rsidR="00FC4B69">
              <w:rPr>
                <w:rFonts w:ascii="Times New Roman" w:hAnsi="Times New Roman"/>
                <w:sz w:val="24"/>
              </w:rPr>
              <w:t>. W prz</w:t>
            </w:r>
            <w:r>
              <w:rPr>
                <w:rFonts w:ascii="Times New Roman" w:hAnsi="Times New Roman"/>
                <w:sz w:val="24"/>
              </w:rPr>
              <w:t>ypadku sekurytyzacji tradycyjnych nie uwzględnia się żadnych innych aktywów puli sekurytyzacyjnej</w:t>
            </w:r>
            <w:r w:rsidR="00FC4B69">
              <w:rPr>
                <w:rFonts w:ascii="Times New Roman" w:hAnsi="Times New Roman"/>
                <w:sz w:val="24"/>
              </w:rPr>
              <w:t>. W prz</w:t>
            </w:r>
            <w:r>
              <w:rPr>
                <w:rFonts w:ascii="Times New Roman" w:hAnsi="Times New Roman"/>
                <w:sz w:val="24"/>
              </w:rPr>
              <w:t>ypadku programów sekurytyzacyjnych</w:t>
            </w:r>
            <w:r w:rsidR="00FC4B69">
              <w:rPr>
                <w:rFonts w:ascii="Times New Roman" w:hAnsi="Times New Roman"/>
                <w:sz w:val="24"/>
              </w:rPr>
              <w:t xml:space="preserve"> z wie</w:t>
            </w:r>
            <w:r>
              <w:rPr>
                <w:rFonts w:ascii="Times New Roman" w:hAnsi="Times New Roman"/>
                <w:sz w:val="24"/>
              </w:rPr>
              <w:t>loma zbywającymi (tj.</w:t>
            </w:r>
            <w:r w:rsidR="00FC4B69">
              <w:rPr>
                <w:rFonts w:ascii="Times New Roman" w:hAnsi="Times New Roman"/>
                <w:sz w:val="24"/>
              </w:rPr>
              <w:t xml:space="preserve"> z wię</w:t>
            </w:r>
            <w:r>
              <w:rPr>
                <w:rFonts w:ascii="Times New Roman" w:hAnsi="Times New Roman"/>
                <w:sz w:val="24"/>
              </w:rPr>
              <w:t>cej niż jedną jednostką inicjującą) zgłasza się tylko kwotę odpowiadającą wkładowi jednostki sprawozdającej</w:t>
            </w:r>
            <w:r w:rsidR="00FC4B69">
              <w:rPr>
                <w:rFonts w:ascii="Times New Roman" w:hAnsi="Times New Roman"/>
                <w:sz w:val="24"/>
              </w:rPr>
              <w:t xml:space="preserve"> w sek</w:t>
            </w:r>
            <w:r>
              <w:rPr>
                <w:rFonts w:ascii="Times New Roman" w:hAnsi="Times New Roman"/>
                <w:sz w:val="24"/>
              </w:rPr>
              <w:t>urytyzowany portfel</w:t>
            </w:r>
            <w:r w:rsidR="00FC4B69">
              <w:rPr>
                <w:rFonts w:ascii="Times New Roman" w:hAnsi="Times New Roman"/>
                <w:sz w:val="24"/>
              </w:rPr>
              <w:t>. W prz</w:t>
            </w:r>
            <w:r>
              <w:rPr>
                <w:rFonts w:ascii="Times New Roman" w:hAnsi="Times New Roman"/>
                <w:sz w:val="24"/>
              </w:rPr>
              <w:t>ypadku programów sekurytyzacyjnych opartych na pulach zamkniętych (tj. gdy portfela aktywów sekurytyzowanych nie można powiększyć po dniu powstania) kwota będzie stopniowo zmniejszana.</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6F03E01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ach danej sekurytyzacji.</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UDZIAŁ INSTYTUCJI %</w:t>
            </w:r>
          </w:p>
          <w:p w14:paraId="15FD4AD7" w14:textId="77777777" w:rsidR="00933ADA" w:rsidRPr="002A677E" w:rsidRDefault="00933ADA" w:rsidP="00822842">
            <w:pPr>
              <w:spacing w:before="0" w:after="0"/>
              <w:jc w:val="left"/>
              <w:rPr>
                <w:rFonts w:ascii="Times New Roman" w:hAnsi="Times New Roman"/>
                <w:sz w:val="24"/>
              </w:rPr>
            </w:pPr>
          </w:p>
          <w:p w14:paraId="312CD141" w14:textId="7DCBD8E6" w:rsidR="00933ADA" w:rsidRPr="002A677E" w:rsidRDefault="00933ADA" w:rsidP="00822842">
            <w:pPr>
              <w:spacing w:before="0" w:after="0"/>
              <w:rPr>
                <w:rFonts w:ascii="Times New Roman" w:hAnsi="Times New Roman"/>
                <w:sz w:val="24"/>
              </w:rPr>
            </w:pPr>
            <w:r>
              <w:rPr>
                <w:rFonts w:ascii="Times New Roman" w:hAnsi="Times New Roman"/>
                <w:sz w:val="24"/>
              </w:rPr>
              <w:t>Udział instytucji</w:t>
            </w:r>
            <w:r w:rsidR="00FC4B69">
              <w:rPr>
                <w:rFonts w:ascii="Times New Roman" w:hAnsi="Times New Roman"/>
                <w:sz w:val="24"/>
              </w:rPr>
              <w:t xml:space="preserve"> w sek</w:t>
            </w:r>
            <w:r>
              <w:rPr>
                <w:rFonts w:ascii="Times New Roman" w:hAnsi="Times New Roman"/>
                <w:sz w:val="24"/>
              </w:rPr>
              <w:t>urytyzowanym portfelu (w ujęciu procentowym</w:t>
            </w:r>
            <w:r w:rsidR="00FC4B69">
              <w:rPr>
                <w:rFonts w:ascii="Times New Roman" w:hAnsi="Times New Roman"/>
                <w:sz w:val="24"/>
              </w:rPr>
              <w:t xml:space="preserve"> z dwo</w:t>
            </w:r>
            <w:r>
              <w:rPr>
                <w:rFonts w:ascii="Times New Roman" w:hAnsi="Times New Roman"/>
                <w:sz w:val="24"/>
              </w:rPr>
              <w:t>ma miejscami po przecinku) na dzień sprawozdawczy. Wartością domyślnie zgłaszaną</w:t>
            </w:r>
            <w:r w:rsidR="00FC4B69">
              <w:rPr>
                <w:rFonts w:ascii="Times New Roman" w:hAnsi="Times New Roman"/>
                <w:sz w:val="24"/>
              </w:rPr>
              <w:t xml:space="preserve"> w tej</w:t>
            </w:r>
            <w:r>
              <w:rPr>
                <w:rFonts w:ascii="Times New Roman" w:hAnsi="Times New Roman"/>
                <w:sz w:val="24"/>
              </w:rPr>
              <w:t xml:space="preserve"> kolumnie jest 100</w:t>
            </w:r>
            <w:r>
              <w:t> </w:t>
            </w:r>
            <w:r>
              <w:rPr>
                <w:rFonts w:ascii="Times New Roman" w:hAnsi="Times New Roman"/>
                <w:sz w:val="24"/>
              </w:rPr>
              <w:t>%,</w:t>
            </w:r>
            <w:r w:rsidR="00FC4B69">
              <w:rPr>
                <w:rFonts w:ascii="Times New Roman" w:hAnsi="Times New Roman"/>
                <w:sz w:val="24"/>
              </w:rPr>
              <w:t xml:space="preserve"> z wyj</w:t>
            </w:r>
            <w:r>
              <w:rPr>
                <w:rFonts w:ascii="Times New Roman" w:hAnsi="Times New Roman"/>
                <w:sz w:val="24"/>
              </w:rPr>
              <w:t>ątkiem programów sekurytyzacyjnych</w:t>
            </w:r>
            <w:r w:rsidR="00FC4B69">
              <w:rPr>
                <w:rFonts w:ascii="Times New Roman" w:hAnsi="Times New Roman"/>
                <w:sz w:val="24"/>
              </w:rPr>
              <w:t xml:space="preserve"> z wie</w:t>
            </w:r>
            <w:r>
              <w:rPr>
                <w:rFonts w:ascii="Times New Roman" w:hAnsi="Times New Roman"/>
                <w:sz w:val="24"/>
              </w:rPr>
              <w:t>loma zbywającymi</w:t>
            </w:r>
            <w:r w:rsidR="00FC4B69">
              <w:rPr>
                <w:rFonts w:ascii="Times New Roman" w:hAnsi="Times New Roman"/>
                <w:sz w:val="24"/>
              </w:rPr>
              <w:t>. W tak</w:t>
            </w:r>
            <w:r>
              <w:rPr>
                <w:rFonts w:ascii="Times New Roman" w:hAnsi="Times New Roman"/>
                <w:sz w:val="24"/>
              </w:rPr>
              <w:t>im przypadku jednostka sprawozdająca zgłasza swój aktualny wkład</w:t>
            </w:r>
            <w:r w:rsidR="00FC4B69">
              <w:rPr>
                <w:rFonts w:ascii="Times New Roman" w:hAnsi="Times New Roman"/>
                <w:sz w:val="24"/>
              </w:rPr>
              <w:t xml:space="preserve"> w sek</w:t>
            </w:r>
            <w:r>
              <w:rPr>
                <w:rFonts w:ascii="Times New Roman" w:hAnsi="Times New Roman"/>
                <w:sz w:val="24"/>
              </w:rPr>
              <w:t>urytyzowany portfel (odpowiadający wartości</w:t>
            </w:r>
            <w:r w:rsidR="00FC4B69">
              <w:rPr>
                <w:rFonts w:ascii="Times New Roman" w:hAnsi="Times New Roman"/>
                <w:sz w:val="24"/>
              </w:rPr>
              <w:t xml:space="preserve"> w kol</w:t>
            </w:r>
            <w:r>
              <w:rPr>
                <w:rFonts w:ascii="Times New Roman" w:hAnsi="Times New Roman"/>
                <w:sz w:val="24"/>
              </w:rPr>
              <w:t>umnie 0140).</w:t>
            </w:r>
          </w:p>
          <w:p w14:paraId="1F647877" w14:textId="77777777" w:rsidR="00933ADA" w:rsidRPr="002A677E" w:rsidRDefault="00933ADA" w:rsidP="00822842">
            <w:pPr>
              <w:spacing w:before="0" w:after="0"/>
              <w:rPr>
                <w:rFonts w:ascii="Times New Roman" w:hAnsi="Times New Roman"/>
                <w:sz w:val="24"/>
              </w:rPr>
            </w:pPr>
          </w:p>
          <w:p w14:paraId="6C6E3C81" w14:textId="4989274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ach danej sekurytyzacji.</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RODZAJ</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5E773B1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kolumnie tej gromadzi się informacje na temat rodzaju aktywów („Zabezpieczenia hipoteczne na nieruchomości mieszkalnej” do „Inne ekspozycje obrotu hurtowego”) lub zobowiązań („Obligacje zabezpieczone” i „Inne zobowiązania”)</w:t>
            </w:r>
            <w:r w:rsidR="00FC4B69">
              <w:rPr>
                <w:rFonts w:ascii="Times New Roman" w:hAnsi="Times New Roman"/>
                <w:sz w:val="24"/>
              </w:rPr>
              <w:t xml:space="preserve"> w ram</w:t>
            </w:r>
            <w:r>
              <w:rPr>
                <w:rFonts w:ascii="Times New Roman" w:hAnsi="Times New Roman"/>
                <w:sz w:val="24"/>
              </w:rPr>
              <w:t>ach sekurytyzowanego portfela. Instytucje zgłaszają jedną</w:t>
            </w:r>
            <w:r w:rsidR="00FC4B69">
              <w:rPr>
                <w:rFonts w:ascii="Times New Roman" w:hAnsi="Times New Roman"/>
                <w:sz w:val="24"/>
              </w:rPr>
              <w:t xml:space="preserve"> z nas</w:t>
            </w:r>
            <w:r>
              <w:rPr>
                <w:rFonts w:ascii="Times New Roman" w:hAnsi="Times New Roman"/>
                <w:sz w:val="24"/>
              </w:rPr>
              <w:t>tępujących opcji, biorąc pod uwagę najwyższą wartość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Ekspozycje detaliczne:</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kredyty hipoteczne; </w:t>
            </w:r>
          </w:p>
          <w:p w14:paraId="15196727" w14:textId="270DA0A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należności</w:t>
            </w:r>
            <w:r w:rsidR="00FC4B69">
              <w:rPr>
                <w:rFonts w:ascii="Times New Roman" w:hAnsi="Times New Roman"/>
                <w:sz w:val="24"/>
              </w:rPr>
              <w:t xml:space="preserve"> z tyt</w:t>
            </w:r>
            <w:r>
              <w:rPr>
                <w:rFonts w:ascii="Times New Roman" w:hAnsi="Times New Roman"/>
                <w:sz w:val="24"/>
              </w:rPr>
              <w:t xml:space="preserve">ułu kart kredytowych;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kredyty konsumenckie;</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kredyty dla MŚP (traktowane jako ekspozycje detaliczne);</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inne ekspozycje detaliczne.</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Handel hurtowy:</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komercyjne kredyty hipoteczne;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kredyty dla przedsiębiorstw;</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kredyty dla MŚP (traktowane jako ekspozycje wobec przedsiębiorstw); </w:t>
            </w:r>
          </w:p>
          <w:p w14:paraId="1D114735" w14:textId="3515E8A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należności</w:t>
            </w:r>
            <w:r w:rsidR="00FC4B69">
              <w:rPr>
                <w:rFonts w:ascii="Times New Roman" w:hAnsi="Times New Roman"/>
                <w:sz w:val="24"/>
              </w:rPr>
              <w:t xml:space="preserve"> z tyt</w:t>
            </w:r>
            <w:r>
              <w:rPr>
                <w:rFonts w:ascii="Times New Roman" w:hAnsi="Times New Roman"/>
                <w:sz w:val="24"/>
              </w:rPr>
              <w:t>ułu dostaw</w:t>
            </w:r>
            <w:r w:rsidR="00FC4B69">
              <w:rPr>
                <w:rFonts w:ascii="Times New Roman" w:hAnsi="Times New Roman"/>
                <w:sz w:val="24"/>
              </w:rPr>
              <w:t xml:space="preserve"> i usł</w:t>
            </w:r>
            <w:r>
              <w:rPr>
                <w:rFonts w:ascii="Times New Roman" w:hAnsi="Times New Roman"/>
                <w:sz w:val="24"/>
              </w:rPr>
              <w:t>ug;</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inne ekspozycje handlu hurtowego.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Zobowiązania:</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obligacje zabezpieczone;</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inne zobowiązania.</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4FC83DB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gdy pula sekurytyzowanych ekspozycji stanowi kombinację wymienionych wyżej rodzajów aktywów</w:t>
            </w:r>
            <w:r w:rsidR="00FC4B69">
              <w:rPr>
                <w:rFonts w:ascii="Times New Roman" w:hAnsi="Times New Roman"/>
                <w:sz w:val="24"/>
              </w:rPr>
              <w:t xml:space="preserve"> i zob</w:t>
            </w:r>
            <w:r>
              <w:rPr>
                <w:rFonts w:ascii="Times New Roman" w:hAnsi="Times New Roman"/>
                <w:sz w:val="24"/>
              </w:rPr>
              <w:t>owiązań, instytucja wskazuje najważniejszy rodzaj</w:t>
            </w:r>
            <w:r w:rsidR="00FC4B69">
              <w:rPr>
                <w:rFonts w:ascii="Times New Roman" w:hAnsi="Times New Roman"/>
                <w:sz w:val="24"/>
              </w:rPr>
              <w:t>. W prz</w:t>
            </w:r>
            <w:r>
              <w:rPr>
                <w:rFonts w:ascii="Times New Roman" w:hAnsi="Times New Roman"/>
                <w:sz w:val="24"/>
              </w:rPr>
              <w:t xml:space="preserve">ypadku resekurytyzacji instytucja odnosi się do ostatecznej bazowej puli aktywów.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przypadku programów sekurytyzacyjnych opartych na pulach zamkniętych rodzaj nie może ulec zmianie między poszczególnymi dniami sprawozdawczymi.</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0E82B21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Zobowiązania należy rozumieć jako zobowiązania pierwotnie wyemitowane przez instytucję sprawozdającą (zob. sekcja 3.2.1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12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b)</w:t>
            </w:r>
            <w:r>
              <w:rPr>
                <w:rFonts w:ascii="Times New Roman" w:hAnsi="Times New Roman"/>
                <w:sz w:val="24"/>
              </w:rPr>
              <w:t xml:space="preserve"> niniejszego załącznika).</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IRB W ZASTOSOWANEJ METODZIE</w:t>
            </w:r>
          </w:p>
          <w:p w14:paraId="7CE80DB2" w14:textId="77777777" w:rsidR="00933ADA" w:rsidRPr="002A677E" w:rsidRDefault="00933ADA" w:rsidP="00822842">
            <w:pPr>
              <w:spacing w:before="0" w:after="0"/>
              <w:jc w:val="left"/>
              <w:rPr>
                <w:rFonts w:ascii="Times New Roman" w:hAnsi="Times New Roman"/>
                <w:sz w:val="24"/>
              </w:rPr>
            </w:pPr>
          </w:p>
          <w:p w14:paraId="6D62530F" w14:textId="016307A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metody lub metod, które</w:t>
            </w:r>
            <w:r w:rsidR="00FC4B69">
              <w:rPr>
                <w:rFonts w:ascii="Times New Roman" w:hAnsi="Times New Roman"/>
                <w:sz w:val="24"/>
              </w:rPr>
              <w:t xml:space="preserve"> w dni</w:t>
            </w:r>
            <w:r>
              <w:rPr>
                <w:rFonts w:ascii="Times New Roman" w:hAnsi="Times New Roman"/>
                <w:sz w:val="24"/>
              </w:rPr>
              <w:t>u sprawozdawczym instytucja zastosowałaby do sekurytyzowanych ekspozycji.</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674A0C80"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odsetek sekurytyzowanych ekspozycji, mierzony za pomocą wartości ekspozycji, do którego zastosowanie</w:t>
            </w:r>
            <w:r w:rsidR="00FC4B69">
              <w:rPr>
                <w:rFonts w:ascii="Times New Roman" w:hAnsi="Times New Roman"/>
                <w:sz w:val="24"/>
              </w:rPr>
              <w:t xml:space="preserve"> w dni</w:t>
            </w:r>
            <w:r>
              <w:rPr>
                <w:rFonts w:ascii="Times New Roman" w:hAnsi="Times New Roman"/>
                <w:sz w:val="24"/>
              </w:rPr>
              <w:t xml:space="preserve">u sprawozdawczym ma metoda wewnętrznych ratingów.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5DD81A6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 xml:space="preserve">ach danej sekurytyzacji. Kolumna ta nie dotyczy jednak sekurytyzacji zobowiązań.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LICZBA EKSPOZYCJI</w:t>
            </w:r>
          </w:p>
          <w:p w14:paraId="552A1C86" w14:textId="77777777" w:rsidR="00933ADA" w:rsidRPr="002A677E" w:rsidRDefault="00933ADA" w:rsidP="00822842">
            <w:pPr>
              <w:spacing w:before="0" w:after="0"/>
              <w:jc w:val="left"/>
              <w:rPr>
                <w:rFonts w:ascii="Times New Roman" w:hAnsi="Times New Roman"/>
                <w:sz w:val="24"/>
              </w:rPr>
            </w:pPr>
          </w:p>
          <w:p w14:paraId="4B953258" w14:textId="098F09C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259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4</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ADCB0F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 kolumna jest obowiązkowa dla instytucji stosujących metodę SEC-IRBA do pozycji sekurytyzacyjnych (a zatem zgłaszających co najmniej 95 %</w:t>
            </w:r>
            <w:r w:rsidR="00FC4B69">
              <w:rPr>
                <w:rFonts w:ascii="Times New Roman" w:hAnsi="Times New Roman"/>
                <w:sz w:val="24"/>
              </w:rPr>
              <w:t xml:space="preserve"> w kol</w:t>
            </w:r>
            <w:r>
              <w:rPr>
                <w:rFonts w:ascii="Times New Roman" w:hAnsi="Times New Roman"/>
                <w:sz w:val="24"/>
              </w:rPr>
              <w:t>umnie 171). Instytucja zgłasza rzeczywistą liczbę ekspozycji.</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4872EF6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Kolumny tej nie zgłasza się</w:t>
            </w:r>
            <w:r w:rsidR="00FC4B69">
              <w:rPr>
                <w:rFonts w:ascii="Times New Roman" w:hAnsi="Times New Roman"/>
                <w:sz w:val="24"/>
              </w:rPr>
              <w:t xml:space="preserve"> w prz</w:t>
            </w:r>
            <w:r>
              <w:rPr>
                <w:rFonts w:ascii="Times New Roman" w:hAnsi="Times New Roman"/>
                <w:sz w:val="24"/>
              </w:rPr>
              <w:t>ypadku sekurytyzacji zobowiązań ani gdy wymogi</w:t>
            </w:r>
            <w:r w:rsidR="00FC4B69">
              <w:rPr>
                <w:rFonts w:ascii="Times New Roman" w:hAnsi="Times New Roman"/>
                <w:sz w:val="24"/>
              </w:rPr>
              <w:t xml:space="preserve"> w zak</w:t>
            </w:r>
            <w:r>
              <w:rPr>
                <w:rFonts w:ascii="Times New Roman" w:hAnsi="Times New Roman"/>
                <w:sz w:val="24"/>
              </w:rPr>
              <w:t>resie funduszy własnych są oparte na sekurytyzowanych ekspozycjach (w przypadku sekurytyzacji aktywów). Kolumny tej nie zgłasza się, gdy instytucja sprawozdająca nie posiada pozycji</w:t>
            </w:r>
            <w:r w:rsidR="00FC4B69">
              <w:rPr>
                <w:rFonts w:ascii="Times New Roman" w:hAnsi="Times New Roman"/>
                <w:sz w:val="24"/>
              </w:rPr>
              <w:t xml:space="preserve"> w ram</w:t>
            </w:r>
            <w:r>
              <w:rPr>
                <w:rFonts w:ascii="Times New Roman" w:hAnsi="Times New Roman"/>
                <w:sz w:val="24"/>
              </w:rPr>
              <w:t>ach danej sekurytyzacji. Kolumny tej nie zgłaszają inwestorzy.</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EKSPOZYCJE, KTÓRYCH DOTYCZY NIEWYKONANIE ZOBOWIĄZANIA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283D0E4C"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 261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0207A9E" w14:textId="77777777" w:rsidR="00933ADA" w:rsidRPr="002A677E" w:rsidRDefault="00933ADA" w:rsidP="00822842">
            <w:pPr>
              <w:spacing w:before="0" w:after="0"/>
              <w:jc w:val="left"/>
              <w:rPr>
                <w:rFonts w:ascii="Times New Roman" w:hAnsi="Times New Roman"/>
                <w:sz w:val="24"/>
              </w:rPr>
            </w:pPr>
          </w:p>
          <w:p w14:paraId="290CEC59" w14:textId="5C3EC8D7" w:rsidR="00933ADA" w:rsidRPr="002A677E" w:rsidRDefault="00933ADA" w:rsidP="00822842">
            <w:pPr>
              <w:spacing w:before="0" w:after="0"/>
              <w:jc w:val="left"/>
              <w:rPr>
                <w:rFonts w:ascii="Times New Roman" w:hAnsi="Times New Roman"/>
                <w:sz w:val="24"/>
              </w:rPr>
            </w:pPr>
            <w:r>
              <w:rPr>
                <w:rFonts w:ascii="Times New Roman" w:hAnsi="Times New Roman"/>
                <w:sz w:val="24"/>
              </w:rPr>
              <w:t>Nawet gdy instytucja nie stosuje metody SEC-SA</w:t>
            </w:r>
            <w:r w:rsidR="00FC4B69">
              <w:rPr>
                <w:rFonts w:ascii="Times New Roman" w:hAnsi="Times New Roman"/>
                <w:sz w:val="24"/>
              </w:rPr>
              <w:t xml:space="preserve"> w odn</w:t>
            </w:r>
            <w:r>
              <w:rPr>
                <w:rFonts w:ascii="Times New Roman" w:hAnsi="Times New Roman"/>
                <w:sz w:val="24"/>
              </w:rPr>
              <w:t>iesieniu do pozycji sekurytyzacyjnych, instytucja zgłasza czynnik „W” (dotyczący ekspozycji bazowych, których dotyczy niewykonanie zobowiązania), który oblicza się</w:t>
            </w:r>
            <w:r w:rsidR="00FC4B69">
              <w:rPr>
                <w:rFonts w:ascii="Times New Roman" w:hAnsi="Times New Roman"/>
                <w:sz w:val="24"/>
              </w:rPr>
              <w:t xml:space="preserve"> w spo</w:t>
            </w:r>
            <w:r>
              <w:rPr>
                <w:rFonts w:ascii="Times New Roman" w:hAnsi="Times New Roman"/>
                <w:sz w:val="24"/>
              </w:rPr>
              <w:t>sób określony</w:t>
            </w:r>
            <w:r w:rsidR="00FC4B69">
              <w:rPr>
                <w:rFonts w:ascii="Times New Roman" w:hAnsi="Times New Roman"/>
                <w:sz w:val="24"/>
              </w:rPr>
              <w:t xml:space="preserve"> w art</w:t>
            </w:r>
            <w:r>
              <w:rPr>
                <w:rFonts w:ascii="Times New Roman" w:hAnsi="Times New Roman"/>
                <w:sz w:val="24"/>
              </w:rPr>
              <w:t xml:space="preserve">. 261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PAŃSTWO</w:t>
            </w:r>
          </w:p>
          <w:p w14:paraId="79EB0623" w14:textId="77777777" w:rsidR="00933ADA" w:rsidRPr="002A677E" w:rsidRDefault="00933ADA" w:rsidP="00822842">
            <w:pPr>
              <w:spacing w:before="0" w:after="0"/>
              <w:jc w:val="left"/>
              <w:rPr>
                <w:rFonts w:ascii="Times New Roman" w:hAnsi="Times New Roman"/>
                <w:sz w:val="24"/>
              </w:rPr>
            </w:pPr>
          </w:p>
          <w:p w14:paraId="48575CE2" w14:textId="6C4BE602" w:rsidR="00933ADA" w:rsidRPr="002A677E" w:rsidRDefault="00933ADA" w:rsidP="00822842">
            <w:pPr>
              <w:spacing w:before="0" w:after="0"/>
              <w:rPr>
                <w:rFonts w:ascii="Times New Roman" w:hAnsi="Times New Roman"/>
                <w:sz w:val="24"/>
              </w:rPr>
            </w:pPr>
            <w:r>
              <w:rPr>
                <w:rFonts w:ascii="Times New Roman" w:hAnsi="Times New Roman"/>
                <w:sz w:val="24"/>
              </w:rPr>
              <w:t>Instytucje zgłaszają kod (ISO 3166-1 alfa-2) państwa pochodzenia ostatecznego instrumentu bazowego transakcji, tj. państwa bezpośredniego dłużnika sekurytyzowanych pierwotnych ekspozycji (według metody pełnego przeglądu)</w:t>
            </w:r>
            <w:r w:rsidR="00FC4B69">
              <w:rPr>
                <w:rFonts w:ascii="Times New Roman" w:hAnsi="Times New Roman"/>
                <w:sz w:val="24"/>
              </w:rPr>
              <w:t>. W prz</w:t>
            </w:r>
            <w:r>
              <w:rPr>
                <w:rFonts w:ascii="Times New Roman" w:hAnsi="Times New Roman"/>
                <w:sz w:val="24"/>
              </w:rPr>
              <w:t>ypadku gdy pula sekurytyzacji dotyczy różnych państw, instytucja wskazuje najważniejsze państwo. Gdy żadne państwo nie przekracza progu 20 %</w:t>
            </w:r>
            <w:r w:rsidR="00FC4B69">
              <w:rPr>
                <w:rFonts w:ascii="Times New Roman" w:hAnsi="Times New Roman"/>
                <w:sz w:val="24"/>
              </w:rPr>
              <w:t xml:space="preserve"> w opa</w:t>
            </w:r>
            <w:r>
              <w:rPr>
                <w:rFonts w:ascii="Times New Roman" w:hAnsi="Times New Roman"/>
                <w:sz w:val="24"/>
              </w:rPr>
              <w:t>rciu</w:t>
            </w:r>
            <w:r w:rsidR="00FC4B69">
              <w:rPr>
                <w:rFonts w:ascii="Times New Roman" w:hAnsi="Times New Roman"/>
                <w:sz w:val="24"/>
              </w:rPr>
              <w:t xml:space="preserve"> o kwo</w:t>
            </w:r>
            <w:r>
              <w:rPr>
                <w:rFonts w:ascii="Times New Roman" w:hAnsi="Times New Roman"/>
                <w:sz w:val="24"/>
              </w:rPr>
              <w:t>tę aktywów/zobowiązań, zgłasza się pozycję „inne państwa”.</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28BEDCE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Średnią stratę</w:t>
            </w:r>
            <w:r w:rsidR="00FC4B69">
              <w:rPr>
                <w:rFonts w:ascii="Times New Roman" w:hAnsi="Times New Roman"/>
                <w:sz w:val="24"/>
              </w:rPr>
              <w:t xml:space="preserve"> z tyt</w:t>
            </w:r>
            <w:r>
              <w:rPr>
                <w:rFonts w:ascii="Times New Roman" w:hAnsi="Times New Roman"/>
                <w:sz w:val="24"/>
              </w:rPr>
              <w:t>ułu niewykonania zobowiązania ważoną ekspozycją (LGD) zgłaszają tylko instytucje stosujące metodę SEC-IRBA (a zatem zgłaszające co najmniej 95 %</w:t>
            </w:r>
            <w:r w:rsidR="00FC4B69">
              <w:rPr>
                <w:rFonts w:ascii="Times New Roman" w:hAnsi="Times New Roman"/>
                <w:sz w:val="24"/>
              </w:rPr>
              <w:t xml:space="preserve"> w kol</w:t>
            </w:r>
            <w:r>
              <w:rPr>
                <w:rFonts w:ascii="Times New Roman" w:hAnsi="Times New Roman"/>
                <w:sz w:val="24"/>
              </w:rPr>
              <w:t>umnie 0170). LGD oblicza się</w:t>
            </w:r>
            <w:r w:rsidR="00FC4B69">
              <w:rPr>
                <w:rFonts w:ascii="Times New Roman" w:hAnsi="Times New Roman"/>
                <w:sz w:val="24"/>
              </w:rPr>
              <w:t xml:space="preserve"> w spo</w:t>
            </w:r>
            <w:r>
              <w:rPr>
                <w:rFonts w:ascii="Times New Roman" w:hAnsi="Times New Roman"/>
                <w:sz w:val="24"/>
              </w:rPr>
              <w:t>sób określony</w:t>
            </w:r>
            <w:r w:rsidR="00FC4B69">
              <w:rPr>
                <w:rFonts w:ascii="Times New Roman" w:hAnsi="Times New Roman"/>
                <w:sz w:val="24"/>
              </w:rPr>
              <w:t xml:space="preserve"> w art</w:t>
            </w:r>
            <w:r>
              <w:rPr>
                <w:rFonts w:ascii="Times New Roman" w:hAnsi="Times New Roman"/>
                <w:sz w:val="24"/>
              </w:rPr>
              <w:t xml:space="preserve">. 259 ust. 5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1BA54C98" w14:textId="4D8D827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Kolumny tej nie zgłasza się</w:t>
            </w:r>
            <w:r w:rsidR="00FC4B69">
              <w:rPr>
                <w:rFonts w:ascii="Times New Roman" w:hAnsi="Times New Roman"/>
                <w:sz w:val="24"/>
              </w:rPr>
              <w:t xml:space="preserve"> w prz</w:t>
            </w:r>
            <w:r>
              <w:rPr>
                <w:rFonts w:ascii="Times New Roman" w:hAnsi="Times New Roman"/>
                <w:sz w:val="24"/>
              </w:rPr>
              <w:t>ypadku sekurytyzacji zobowiązań ani gdy wymogi</w:t>
            </w:r>
            <w:r w:rsidR="00FC4B69">
              <w:rPr>
                <w:rFonts w:ascii="Times New Roman" w:hAnsi="Times New Roman"/>
                <w:sz w:val="24"/>
              </w:rPr>
              <w:t xml:space="preserve"> w zak</w:t>
            </w:r>
            <w:r>
              <w:rPr>
                <w:rFonts w:ascii="Times New Roman" w:hAnsi="Times New Roman"/>
                <w:sz w:val="24"/>
              </w:rPr>
              <w:t xml:space="preserve">resie funduszy własnych są oparte na sekurytyzowanych ekspozycjach (w przypadku sekurytyzacji aktywów).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2B59005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Średnią oczekiwaną stratę aktywów sekurytyzowanych ważoną ekspozycją (EL) zgłaszają tylko instytucje stosujące metodę SEC-IRBA (a zatem zgłaszające co najmniej 95 %</w:t>
            </w:r>
            <w:r w:rsidR="00FC4B69">
              <w:rPr>
                <w:rFonts w:ascii="Times New Roman" w:hAnsi="Times New Roman"/>
                <w:sz w:val="24"/>
              </w:rPr>
              <w:t xml:space="preserve"> w kol</w:t>
            </w:r>
            <w:r>
              <w:rPr>
                <w:rFonts w:ascii="Times New Roman" w:hAnsi="Times New Roman"/>
                <w:sz w:val="24"/>
              </w:rPr>
              <w:t>umnie 0171)</w:t>
            </w:r>
            <w:r w:rsidR="00FC4B69">
              <w:rPr>
                <w:rFonts w:ascii="Times New Roman" w:hAnsi="Times New Roman"/>
                <w:sz w:val="24"/>
              </w:rPr>
              <w:t>. W prz</w:t>
            </w:r>
            <w:r>
              <w:rPr>
                <w:rFonts w:ascii="Times New Roman" w:hAnsi="Times New Roman"/>
                <w:sz w:val="24"/>
              </w:rPr>
              <w:t>ypadku aktywów sekurytyzowanych SA, zgłaszana EL jest konkretna dla konkretnych korekt ryzyka kredytowego,</w:t>
            </w:r>
            <w:r w:rsidR="00FC4B69">
              <w:rPr>
                <w:rFonts w:ascii="Times New Roman" w:hAnsi="Times New Roman"/>
                <w:sz w:val="24"/>
              </w:rPr>
              <w:t xml:space="preserve"> o któ</w:t>
            </w:r>
            <w:r>
              <w:rPr>
                <w:rFonts w:ascii="Times New Roman" w:hAnsi="Times New Roman"/>
                <w:sz w:val="24"/>
              </w:rPr>
              <w:t>rych mowa</w:t>
            </w:r>
            <w:r w:rsidR="00FC4B69">
              <w:rPr>
                <w:rFonts w:ascii="Times New Roman" w:hAnsi="Times New Roman"/>
                <w:sz w:val="24"/>
              </w:rPr>
              <w:t xml:space="preserve"> w art</w:t>
            </w:r>
            <w:r>
              <w:rPr>
                <w:rFonts w:ascii="Times New Roman" w:hAnsi="Times New Roman"/>
                <w:sz w:val="24"/>
              </w:rPr>
              <w:t xml:space="preserve">. 111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EL oblicza się zgodnie</w:t>
            </w:r>
            <w:r w:rsidR="00FC4B69">
              <w:rPr>
                <w:rFonts w:ascii="Times New Roman" w:hAnsi="Times New Roman"/>
                <w:sz w:val="24"/>
              </w:rPr>
              <w:t xml:space="preserve"> z czę</w:t>
            </w:r>
            <w:r>
              <w:rPr>
                <w:rFonts w:ascii="Times New Roman" w:hAnsi="Times New Roman"/>
                <w:sz w:val="24"/>
              </w:rPr>
              <w:t xml:space="preserve">ścią trzecią tytuł II rozdział 3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Kolumny tej nie zgłasza się</w:t>
            </w:r>
            <w:r w:rsidR="00FC4B69">
              <w:rPr>
                <w:rFonts w:ascii="Times New Roman" w:hAnsi="Times New Roman"/>
                <w:sz w:val="24"/>
              </w:rPr>
              <w:t xml:space="preserve"> w prz</w:t>
            </w:r>
            <w:r>
              <w:rPr>
                <w:rFonts w:ascii="Times New Roman" w:hAnsi="Times New Roman"/>
                <w:sz w:val="24"/>
              </w:rPr>
              <w:t>ypadku sekurytyzacji zobowiązań ani gdy wymogi</w:t>
            </w:r>
            <w:r w:rsidR="00FC4B69">
              <w:rPr>
                <w:rFonts w:ascii="Times New Roman" w:hAnsi="Times New Roman"/>
                <w:sz w:val="24"/>
              </w:rPr>
              <w:t xml:space="preserve"> w zak</w:t>
            </w:r>
            <w:r>
              <w:rPr>
                <w:rFonts w:ascii="Times New Roman" w:hAnsi="Times New Roman"/>
                <w:sz w:val="24"/>
              </w:rPr>
              <w:t>resie funduszy własnych są oparte na sekurytyzowanych ekspozycjach (w przypadku sekurytyzacji aktywów).</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649ABF0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Średnią nieoczekiwaną stratę aktywów sekurytyzowanych ważoną ekspozycją (UL) zgłaszają tylko instytucje stosujące metodę SEC-IRBA (a zatem zgłaszające co najmniej 95 %</w:t>
            </w:r>
            <w:r w:rsidR="00FC4B69">
              <w:rPr>
                <w:rFonts w:ascii="Times New Roman" w:hAnsi="Times New Roman"/>
                <w:sz w:val="24"/>
              </w:rPr>
              <w:t xml:space="preserve"> w kol</w:t>
            </w:r>
            <w:r>
              <w:rPr>
                <w:rFonts w:ascii="Times New Roman" w:hAnsi="Times New Roman"/>
                <w:sz w:val="24"/>
              </w:rPr>
              <w:t>umnie 0170). UL aktywów jest równe kwocie ekspozycji ważonej ryzykiem pomnożonej przez 8 %. Kwotę ekspozycji ważonej ryzykiem oblicza się zgodnie</w:t>
            </w:r>
            <w:r w:rsidR="00FC4B69">
              <w:rPr>
                <w:rFonts w:ascii="Times New Roman" w:hAnsi="Times New Roman"/>
                <w:sz w:val="24"/>
              </w:rPr>
              <w:t xml:space="preserve"> z czę</w:t>
            </w:r>
            <w:r>
              <w:rPr>
                <w:rFonts w:ascii="Times New Roman" w:hAnsi="Times New Roman"/>
                <w:sz w:val="24"/>
              </w:rPr>
              <w:t xml:space="preserve">ścią trzecią tytuł II rozdział 3 sekcja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Kolumny tej nie zgłasza się</w:t>
            </w:r>
            <w:r w:rsidR="00FC4B69">
              <w:rPr>
                <w:rFonts w:ascii="Times New Roman" w:hAnsi="Times New Roman"/>
                <w:sz w:val="24"/>
              </w:rPr>
              <w:t xml:space="preserve"> w prz</w:t>
            </w:r>
            <w:r>
              <w:rPr>
                <w:rFonts w:ascii="Times New Roman" w:hAnsi="Times New Roman"/>
                <w:sz w:val="24"/>
              </w:rPr>
              <w:t>ypadku sekurytyzacji zobowiązań ani gdy wymogi</w:t>
            </w:r>
            <w:r w:rsidR="00FC4B69">
              <w:rPr>
                <w:rFonts w:ascii="Times New Roman" w:hAnsi="Times New Roman"/>
                <w:sz w:val="24"/>
              </w:rPr>
              <w:t xml:space="preserve"> w zak</w:t>
            </w:r>
            <w:r>
              <w:rPr>
                <w:rFonts w:ascii="Times New Roman" w:hAnsi="Times New Roman"/>
                <w:sz w:val="24"/>
              </w:rPr>
              <w:t>resie funduszy własnych są oparte na sekurytyzowanych ekspozycjach (w przypadku sekurytyzacji aktywów).</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ŚREDNI TERMIN ZAPADALNOŚCI AKTYWÓW WAŻONY EKSPOZYCJĄ</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4E2FF0AE"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Średni termin zapadalności aktywów sekurytyzowanych ważony ekspozycją</w:t>
            </w:r>
            <w:r w:rsidR="00FC4B69">
              <w:rPr>
                <w:rFonts w:ascii="Times New Roman" w:hAnsi="Times New Roman"/>
                <w:sz w:val="24"/>
              </w:rPr>
              <w:t xml:space="preserve"> w dni</w:t>
            </w:r>
            <w:r>
              <w:rPr>
                <w:rFonts w:ascii="Times New Roman" w:hAnsi="Times New Roman"/>
                <w:sz w:val="24"/>
              </w:rPr>
              <w:t>u sprawozdawczym zgłaszają wszystkie instytucje bez względu na stosowane podejście obliczania wymogów kapitałowych. Instytucje obliczają termin zapadalności poszczególnych aktywów zgodnie</w:t>
            </w:r>
            <w:r w:rsidR="00FC4B69">
              <w:rPr>
                <w:rFonts w:ascii="Times New Roman" w:hAnsi="Times New Roman"/>
                <w:sz w:val="24"/>
              </w:rPr>
              <w:t xml:space="preserve"> z art</w:t>
            </w:r>
            <w:r>
              <w:rPr>
                <w:rFonts w:ascii="Times New Roman" w:hAnsi="Times New Roman"/>
                <w:sz w:val="24"/>
              </w:rPr>
              <w:t xml:space="preserve">. 162 ust. 2 lit. a) i f)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bez zastosowania pięcioletniego pułapu.</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KOREKTY WARTOŚCI I REZERWY</w:t>
            </w:r>
          </w:p>
          <w:p w14:paraId="598F8B9A" w14:textId="77777777" w:rsidR="00933ADA" w:rsidRPr="002A677E" w:rsidRDefault="00933ADA" w:rsidP="00822842">
            <w:pPr>
              <w:spacing w:before="0" w:after="0"/>
              <w:jc w:val="left"/>
              <w:rPr>
                <w:rFonts w:ascii="Times New Roman" w:hAnsi="Times New Roman"/>
                <w:sz w:val="24"/>
              </w:rPr>
            </w:pPr>
          </w:p>
          <w:p w14:paraId="72EB71CD" w14:textId="5BB3AA7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Korekty wartości</w:t>
            </w:r>
            <w:r w:rsidR="00FC4B69">
              <w:rPr>
                <w:rFonts w:ascii="Times New Roman" w:hAnsi="Times New Roman"/>
                <w:sz w:val="24"/>
              </w:rPr>
              <w:t xml:space="preserve"> i rez</w:t>
            </w:r>
            <w:r>
              <w:rPr>
                <w:rFonts w:ascii="Times New Roman" w:hAnsi="Times New Roman"/>
                <w:sz w:val="24"/>
              </w:rPr>
              <w:t xml:space="preserve">erwy (art. 159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na wypadek strat kredytowych dokonane zgodnie ze standardami rachunkowości mającymi zastosowanie do jednostki sprawozdającej. Korekty wartości obejmują każdą kwotę uznaną</w:t>
            </w:r>
            <w:r w:rsidR="00FC4B69">
              <w:rPr>
                <w:rFonts w:ascii="Times New Roman" w:hAnsi="Times New Roman"/>
                <w:sz w:val="24"/>
              </w:rPr>
              <w:t xml:space="preserve"> w rac</w:t>
            </w:r>
            <w:r>
              <w:rPr>
                <w:rFonts w:ascii="Times New Roman" w:hAnsi="Times New Roman"/>
                <w:sz w:val="24"/>
              </w:rPr>
              <w:t>hunku zysków</w:t>
            </w:r>
            <w:r w:rsidR="00FC4B69">
              <w:rPr>
                <w:rFonts w:ascii="Times New Roman" w:hAnsi="Times New Roman"/>
                <w:sz w:val="24"/>
              </w:rPr>
              <w:t xml:space="preserve"> i str</w:t>
            </w:r>
            <w:r>
              <w:rPr>
                <w:rFonts w:ascii="Times New Roman" w:hAnsi="Times New Roman"/>
                <w:sz w:val="24"/>
              </w:rPr>
              <w:t xml:space="preserve">at jako strata kredytowa </w:t>
            </w:r>
            <w:r>
              <w:rPr>
                <w:rFonts w:ascii="Times New Roman" w:hAnsi="Times New Roman"/>
                <w:sz w:val="24"/>
              </w:rPr>
              <w:lastRenderedPageBreak/>
              <w:t>aktywów finansowych od czasu ich początkowego ujęcia</w:t>
            </w:r>
            <w:r w:rsidR="00FC4B69">
              <w:rPr>
                <w:rFonts w:ascii="Times New Roman" w:hAnsi="Times New Roman"/>
                <w:sz w:val="24"/>
              </w:rPr>
              <w:t xml:space="preserve"> w bil</w:t>
            </w:r>
            <w:r>
              <w:rPr>
                <w:rFonts w:ascii="Times New Roman" w:hAnsi="Times New Roman"/>
                <w:sz w:val="24"/>
              </w:rPr>
              <w:t>ansie (w tym straty wynikające</w:t>
            </w:r>
            <w:r w:rsidR="00FC4B69">
              <w:rPr>
                <w:rFonts w:ascii="Times New Roman" w:hAnsi="Times New Roman"/>
                <w:sz w:val="24"/>
              </w:rPr>
              <w:t xml:space="preserve"> z ryz</w:t>
            </w:r>
            <w:r>
              <w:rPr>
                <w:rFonts w:ascii="Times New Roman" w:hAnsi="Times New Roman"/>
                <w:sz w:val="24"/>
              </w:rPr>
              <w:t>yka kredytowego aktywów finansowych wycenione według wartości godziwej, których nie odejmuje się od wartości ekspozycji) plus dyskonto</w:t>
            </w:r>
            <w:r w:rsidR="00FC4B69">
              <w:rPr>
                <w:rFonts w:ascii="Times New Roman" w:hAnsi="Times New Roman"/>
                <w:sz w:val="24"/>
              </w:rPr>
              <w:t xml:space="preserve"> z tyt</w:t>
            </w:r>
            <w:r>
              <w:rPr>
                <w:rFonts w:ascii="Times New Roman" w:hAnsi="Times New Roman"/>
                <w:sz w:val="24"/>
              </w:rPr>
              <w:t>ułu aktywów nabytych</w:t>
            </w:r>
            <w:r w:rsidR="00FC4B69">
              <w:rPr>
                <w:rFonts w:ascii="Times New Roman" w:hAnsi="Times New Roman"/>
                <w:sz w:val="24"/>
              </w:rPr>
              <w:t xml:space="preserve"> w prz</w:t>
            </w:r>
            <w:r>
              <w:rPr>
                <w:rFonts w:ascii="Times New Roman" w:hAnsi="Times New Roman"/>
                <w:sz w:val="24"/>
              </w:rPr>
              <w:t>ypadku niewykonania zobowiązania,</w:t>
            </w:r>
            <w:r w:rsidR="00FC4B69">
              <w:rPr>
                <w:rFonts w:ascii="Times New Roman" w:hAnsi="Times New Roman"/>
                <w:sz w:val="24"/>
              </w:rPr>
              <w:t xml:space="preserve"> o któ</w:t>
            </w:r>
            <w:r>
              <w:rPr>
                <w:rFonts w:ascii="Times New Roman" w:hAnsi="Times New Roman"/>
                <w:sz w:val="24"/>
              </w:rPr>
              <w:t>rych mowa</w:t>
            </w:r>
            <w:r w:rsidR="00FC4B69">
              <w:rPr>
                <w:rFonts w:ascii="Times New Roman" w:hAnsi="Times New Roman"/>
                <w:sz w:val="24"/>
              </w:rPr>
              <w:t xml:space="preserve"> w art</w:t>
            </w:r>
            <w:r>
              <w:rPr>
                <w:rFonts w:ascii="Times New Roman" w:hAnsi="Times New Roman"/>
                <w:sz w:val="24"/>
              </w:rPr>
              <w:t xml:space="preserve">. 166 ust. 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Rezerwy obejmują skumulowane kwoty strat kredytowych</w:t>
            </w:r>
            <w:r w:rsidR="00FC4B69">
              <w:rPr>
                <w:rFonts w:ascii="Times New Roman" w:hAnsi="Times New Roman"/>
                <w:sz w:val="24"/>
              </w:rPr>
              <w:t xml:space="preserve"> w poz</w:t>
            </w:r>
            <w:r>
              <w:rPr>
                <w:rFonts w:ascii="Times New Roman" w:hAnsi="Times New Roman"/>
                <w:sz w:val="24"/>
              </w:rPr>
              <w:t>ycjach pozabilansowych.</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3F68F0B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kolumnie tej gromadzone są informacje na temat korekt wartości</w:t>
            </w:r>
            <w:r w:rsidR="00FC4B69">
              <w:rPr>
                <w:rFonts w:ascii="Times New Roman" w:hAnsi="Times New Roman"/>
                <w:sz w:val="24"/>
              </w:rPr>
              <w:t xml:space="preserve"> i rez</w:t>
            </w:r>
            <w:r>
              <w:rPr>
                <w:rFonts w:ascii="Times New Roman" w:hAnsi="Times New Roman"/>
                <w:sz w:val="24"/>
              </w:rPr>
              <w:t>erw stosowanych do sekurytyzowanych ekspozycji. Niniejszej kolumny nie zgłasza się</w:t>
            </w:r>
            <w:r w:rsidR="00FC4B69">
              <w:rPr>
                <w:rFonts w:ascii="Times New Roman" w:hAnsi="Times New Roman"/>
                <w:sz w:val="24"/>
              </w:rPr>
              <w:t xml:space="preserve"> w prz</w:t>
            </w:r>
            <w:r>
              <w:rPr>
                <w:rFonts w:ascii="Times New Roman" w:hAnsi="Times New Roman"/>
                <w:sz w:val="24"/>
              </w:rPr>
              <w:t>ypadku sekurytyzacji zobowiązań.</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34F684A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 xml:space="preserve">ach danej sekurytyzacji.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WYMOGI W ZAKRESIE FUNDUSZY WŁASNYCH PRZED SEKURYTYZACJĄ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388D22A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Tę kolumnę zgłaszają tylko instytucje stosujące metodę SEC-IRBA (a zatem zgłaszające co najmniej 95 %</w:t>
            </w:r>
            <w:r w:rsidR="00FC4B69">
              <w:rPr>
                <w:rFonts w:ascii="Times New Roman" w:hAnsi="Times New Roman"/>
                <w:sz w:val="24"/>
              </w:rPr>
              <w:t xml:space="preserve"> w kol</w:t>
            </w:r>
            <w:r>
              <w:rPr>
                <w:rFonts w:ascii="Times New Roman" w:hAnsi="Times New Roman"/>
                <w:sz w:val="24"/>
              </w:rPr>
              <w:t>umnie 171); gromadzi się</w:t>
            </w:r>
            <w:r w:rsidR="00FC4B69">
              <w:rPr>
                <w:rFonts w:ascii="Times New Roman" w:hAnsi="Times New Roman"/>
                <w:sz w:val="24"/>
              </w:rPr>
              <w:t xml:space="preserve"> w nie</w:t>
            </w:r>
            <w:r>
              <w:rPr>
                <w:rFonts w:ascii="Times New Roman" w:hAnsi="Times New Roman"/>
                <w:sz w:val="24"/>
              </w:rPr>
              <w:t>j informacje na temat K</w:t>
            </w:r>
            <w:r>
              <w:rPr>
                <w:rFonts w:ascii="Times New Roman" w:hAnsi="Times New Roman"/>
                <w:sz w:val="24"/>
                <w:vertAlign w:val="subscript"/>
              </w:rPr>
              <w:t>IRB</w:t>
            </w:r>
            <w:r>
              <w:rPr>
                <w:rFonts w:ascii="Times New Roman" w:hAnsi="Times New Roman"/>
                <w:sz w:val="24"/>
              </w:rPr>
              <w:t>, zgodnie</w:t>
            </w:r>
            <w:r w:rsidR="00FC4B69">
              <w:rPr>
                <w:rFonts w:ascii="Times New Roman" w:hAnsi="Times New Roman"/>
                <w:sz w:val="24"/>
              </w:rPr>
              <w:t xml:space="preserve"> z art</w:t>
            </w:r>
            <w:r>
              <w:rPr>
                <w:rFonts w:ascii="Times New Roman" w:hAnsi="Times New Roman"/>
                <w:sz w:val="24"/>
              </w:rPr>
              <w:t xml:space="preserve">. 255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w:t>
            </w:r>
            <w:r>
              <w:rPr>
                <w:rFonts w:ascii="Times New Roman" w:hAnsi="Times New Roman"/>
                <w:sz w:val="24"/>
                <w:vertAlign w:val="subscript"/>
              </w:rPr>
              <w:t>IRB</w:t>
            </w:r>
            <w:r>
              <w:rPr>
                <w:rFonts w:ascii="Times New Roman" w:hAnsi="Times New Roman"/>
                <w:sz w:val="24"/>
              </w:rPr>
              <w:t xml:space="preserve"> wyraża się jako wartość procentową (z dwoma miejscami po przecinku).</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0371DC3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Niniejszej kolumny nie zgłasza się</w:t>
            </w:r>
            <w:r w:rsidR="00FC4B69">
              <w:rPr>
                <w:rFonts w:ascii="Times New Roman" w:hAnsi="Times New Roman"/>
                <w:sz w:val="24"/>
              </w:rPr>
              <w:t xml:space="preserve"> w prz</w:t>
            </w:r>
            <w:r>
              <w:rPr>
                <w:rFonts w:ascii="Times New Roman" w:hAnsi="Times New Roman"/>
                <w:sz w:val="24"/>
              </w:rPr>
              <w:t>ypadku sekurytyzacji zobowiązań</w:t>
            </w:r>
            <w:r w:rsidR="00FC4B69">
              <w:rPr>
                <w:rFonts w:ascii="Times New Roman" w:hAnsi="Times New Roman"/>
                <w:sz w:val="24"/>
              </w:rPr>
              <w:t>. W prz</w:t>
            </w:r>
            <w:r>
              <w:rPr>
                <w:rFonts w:ascii="Times New Roman" w:hAnsi="Times New Roman"/>
                <w:sz w:val="24"/>
              </w:rPr>
              <w:t>ypadku sekurytyzacji aktywów 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 xml:space="preserve">ach danej sekurytyzacji.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EKSPOZYCJI DETALICZNYCH W PULACH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654F9C9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Pule IRB, zgodnie</w:t>
            </w:r>
            <w:r w:rsidR="00FC4B69">
              <w:rPr>
                <w:rFonts w:ascii="Times New Roman" w:hAnsi="Times New Roman"/>
                <w:sz w:val="24"/>
              </w:rPr>
              <w:t xml:space="preserve"> z def</w:t>
            </w:r>
            <w:r>
              <w:rPr>
                <w:rFonts w:ascii="Times New Roman" w:hAnsi="Times New Roman"/>
                <w:sz w:val="24"/>
              </w:rPr>
              <w:t>inicją</w:t>
            </w:r>
            <w:r w:rsidR="00FC4B69">
              <w:rPr>
                <w:rFonts w:ascii="Times New Roman" w:hAnsi="Times New Roman"/>
                <w:sz w:val="24"/>
              </w:rPr>
              <w:t xml:space="preserve"> w art</w:t>
            </w:r>
            <w:r>
              <w:rPr>
                <w:rFonts w:ascii="Times New Roman" w:hAnsi="Times New Roman"/>
                <w:sz w:val="24"/>
              </w:rPr>
              <w:t xml:space="preserve">. 242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7</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pod warunkiem że instytucja jest</w:t>
            </w:r>
            <w:r w:rsidR="00FC4B69">
              <w:rPr>
                <w:rFonts w:ascii="Times New Roman" w:hAnsi="Times New Roman"/>
                <w:sz w:val="24"/>
              </w:rPr>
              <w:t xml:space="preserve"> w sta</w:t>
            </w:r>
            <w:r>
              <w:rPr>
                <w:rFonts w:ascii="Times New Roman" w:hAnsi="Times New Roman"/>
                <w:sz w:val="24"/>
              </w:rPr>
              <w:t>nie obliczyć K</w:t>
            </w:r>
            <w:r>
              <w:rPr>
                <w:rFonts w:ascii="Times New Roman" w:hAnsi="Times New Roman"/>
                <w:sz w:val="24"/>
                <w:vertAlign w:val="subscript"/>
              </w:rPr>
              <w:t>IRB</w:t>
            </w:r>
            <w:r>
              <w:rPr>
                <w:rFonts w:ascii="Times New Roman" w:hAnsi="Times New Roman"/>
                <w:sz w:val="24"/>
              </w:rPr>
              <w:t xml:space="preserve"> zgodnie</w:t>
            </w:r>
            <w:r w:rsidR="00FC4B69">
              <w:rPr>
                <w:rFonts w:ascii="Times New Roman" w:hAnsi="Times New Roman"/>
                <w:sz w:val="24"/>
              </w:rPr>
              <w:t xml:space="preserve"> z czę</w:t>
            </w:r>
            <w:r>
              <w:rPr>
                <w:rFonts w:ascii="Times New Roman" w:hAnsi="Times New Roman"/>
                <w:sz w:val="24"/>
              </w:rPr>
              <w:t xml:space="preserve">ścią trzecią tytuł II rozdział 6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r w:rsidR="00FC4B69">
              <w:rPr>
                <w:rFonts w:ascii="Times New Roman" w:hAnsi="Times New Roman"/>
                <w:sz w:val="24"/>
              </w:rPr>
              <w:t xml:space="preserve"> w odn</w:t>
            </w:r>
            <w:r>
              <w:rPr>
                <w:rFonts w:ascii="Times New Roman" w:hAnsi="Times New Roman"/>
                <w:sz w:val="24"/>
              </w:rPr>
              <w:t xml:space="preserve">iesieniu do co najmniej 95 % kwoty ekspozycji bazowych (art. 259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WYMOGI W ZAKRESIE FUNDUSZY WŁASNYCH PRZED SEKURYTYZACJĄ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F128D3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Nawet gdy instytucja nie stosuje metody SEC-SA</w:t>
            </w:r>
            <w:r w:rsidR="00FC4B69">
              <w:rPr>
                <w:rFonts w:ascii="Times New Roman" w:hAnsi="Times New Roman"/>
                <w:sz w:val="24"/>
              </w:rPr>
              <w:t xml:space="preserve"> w odn</w:t>
            </w:r>
            <w:r>
              <w:rPr>
                <w:rFonts w:ascii="Times New Roman" w:hAnsi="Times New Roman"/>
                <w:sz w:val="24"/>
              </w:rPr>
              <w:t>iesieniu do pozycji sekurytyzacyjnych, instytucja zgłasza niniejszą kolumnę</w:t>
            </w:r>
            <w:r w:rsidR="00FC4B69">
              <w:rPr>
                <w:rFonts w:ascii="Times New Roman" w:hAnsi="Times New Roman"/>
                <w:sz w:val="24"/>
              </w:rPr>
              <w:t>. W nin</w:t>
            </w:r>
            <w:r>
              <w:rPr>
                <w:rFonts w:ascii="Times New Roman" w:hAnsi="Times New Roman"/>
                <w:sz w:val="24"/>
              </w:rPr>
              <w:t>iejszej kolumnie gromadzi się informacje na temat K</w:t>
            </w:r>
            <w:r>
              <w:rPr>
                <w:rFonts w:ascii="Times New Roman" w:hAnsi="Times New Roman"/>
                <w:sz w:val="24"/>
                <w:vertAlign w:val="subscript"/>
              </w:rPr>
              <w:t>SA</w:t>
            </w:r>
            <w:r>
              <w:rPr>
                <w:rFonts w:ascii="Times New Roman" w:hAnsi="Times New Roman"/>
                <w:sz w:val="24"/>
              </w:rPr>
              <w:t>,</w:t>
            </w:r>
            <w:r w:rsidR="00FC4B69">
              <w:rPr>
                <w:rFonts w:ascii="Times New Roman" w:hAnsi="Times New Roman"/>
                <w:sz w:val="24"/>
              </w:rPr>
              <w:t xml:space="preserve"> o któ</w:t>
            </w:r>
            <w:r>
              <w:rPr>
                <w:rFonts w:ascii="Times New Roman" w:hAnsi="Times New Roman"/>
                <w:sz w:val="24"/>
              </w:rPr>
              <w:t>rym mowa</w:t>
            </w:r>
            <w:r w:rsidR="00FC4B69">
              <w:rPr>
                <w:rFonts w:ascii="Times New Roman" w:hAnsi="Times New Roman"/>
                <w:sz w:val="24"/>
              </w:rPr>
              <w:t xml:space="preserve"> w art</w:t>
            </w:r>
            <w:r>
              <w:rPr>
                <w:rFonts w:ascii="Times New Roman" w:hAnsi="Times New Roman"/>
                <w:sz w:val="24"/>
              </w:rPr>
              <w:t xml:space="preserve">. 255 ust.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w:t>
            </w:r>
            <w:r>
              <w:rPr>
                <w:rFonts w:ascii="Times New Roman" w:hAnsi="Times New Roman"/>
                <w:sz w:val="24"/>
                <w:vertAlign w:val="subscript"/>
              </w:rPr>
              <w:t>SA</w:t>
            </w:r>
            <w:r>
              <w:rPr>
                <w:rFonts w:ascii="Times New Roman" w:hAnsi="Times New Roman"/>
                <w:sz w:val="24"/>
              </w:rPr>
              <w:t xml:space="preserve"> wyraża się jako wartość procentową (z dwoma miejscami po przecinku).</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4D1108E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Niniejszej kolumny nie zgłasza się</w:t>
            </w:r>
            <w:r w:rsidR="00FC4B69">
              <w:rPr>
                <w:rFonts w:ascii="Times New Roman" w:hAnsi="Times New Roman"/>
                <w:sz w:val="24"/>
              </w:rPr>
              <w:t xml:space="preserve"> w prz</w:t>
            </w:r>
            <w:r>
              <w:rPr>
                <w:rFonts w:ascii="Times New Roman" w:hAnsi="Times New Roman"/>
                <w:sz w:val="24"/>
              </w:rPr>
              <w:t>ypadku sekurytyzacji zobowiązań</w:t>
            </w:r>
            <w:r w:rsidR="00FC4B69">
              <w:rPr>
                <w:rFonts w:ascii="Times New Roman" w:hAnsi="Times New Roman"/>
                <w:sz w:val="24"/>
              </w:rPr>
              <w:t>. W prz</w:t>
            </w:r>
            <w:r>
              <w:rPr>
                <w:rFonts w:ascii="Times New Roman" w:hAnsi="Times New Roman"/>
                <w:sz w:val="24"/>
              </w:rPr>
              <w:t>ypadku sekurytyzacji aktywów informację tę zgłasza się, nawet gdy jednostka sprawozdająca nie posiada pozycji</w:t>
            </w:r>
            <w:r w:rsidR="00FC4B69">
              <w:rPr>
                <w:rFonts w:ascii="Times New Roman" w:hAnsi="Times New Roman"/>
                <w:sz w:val="24"/>
              </w:rPr>
              <w:t xml:space="preserve"> w ram</w:t>
            </w:r>
            <w:r>
              <w:rPr>
                <w:rFonts w:ascii="Times New Roman" w:hAnsi="Times New Roman"/>
                <w:sz w:val="24"/>
              </w:rPr>
              <w:t xml:space="preserve">ach danej sekurytyzacji.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POZYCJE UZUPEŁNIAJĄCE: KOREKTY Z TYTUŁU RYZYKA KREDYTOWEGO W BIEŻĄCYM OKRESIE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3447DA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110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PROGRAM SEKURYTYZACYJNY</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1688D70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tym zestawieniu sześciu kolumn gromadzone są informacje na temat struktury sekurytyzacji na podstawie pozycji bilansowych/pozabilansowych, transz (uprzywilejowane/typu mezzanine/pierwszej straty) oraz terminu zapadalności</w:t>
            </w:r>
            <w:r w:rsidR="00FC4B69">
              <w:rPr>
                <w:rFonts w:ascii="Times New Roman" w:hAnsi="Times New Roman"/>
                <w:sz w:val="24"/>
              </w:rPr>
              <w:t xml:space="preserve"> w dni</w:t>
            </w:r>
            <w:r>
              <w:rPr>
                <w:rFonts w:ascii="Times New Roman" w:hAnsi="Times New Roman"/>
                <w:sz w:val="24"/>
              </w:rPr>
              <w:t xml:space="preserve">u sprawozdawczym.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0634CCB4" w:rsidR="00933ADA" w:rsidRPr="002A677E" w:rsidRDefault="00933ADA" w:rsidP="00822842">
            <w:pPr>
              <w:spacing w:before="0" w:after="0"/>
              <w:rPr>
                <w:rFonts w:ascii="Times New Roman" w:hAnsi="Times New Roman"/>
                <w:sz w:val="24"/>
              </w:rPr>
            </w:pPr>
            <w:r>
              <w:rPr>
                <w:rFonts w:ascii="Times New Roman" w:hAnsi="Times New Roman"/>
                <w:sz w:val="24"/>
              </w:rPr>
              <w:t>W przypadku programów sekurytyzacyjnych</w:t>
            </w:r>
            <w:r w:rsidR="00FC4B69">
              <w:rPr>
                <w:rFonts w:ascii="Times New Roman" w:hAnsi="Times New Roman"/>
                <w:sz w:val="24"/>
              </w:rPr>
              <w:t xml:space="preserve"> z wie</w:t>
            </w:r>
            <w:r>
              <w:rPr>
                <w:rFonts w:ascii="Times New Roman" w:hAnsi="Times New Roman"/>
                <w:sz w:val="24"/>
              </w:rPr>
              <w:t>loma zbywającymi zgłasza się tylko kwotę odpowiadającą lub przypisywaną instytucji sprawozdającej.</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BILANSOWE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2DAD306F"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bilansowych</w:t>
            </w:r>
            <w:r w:rsidR="00FC4B69">
              <w:rPr>
                <w:rFonts w:ascii="Times New Roman" w:hAnsi="Times New Roman"/>
                <w:sz w:val="24"/>
              </w:rPr>
              <w:t xml:space="preserve"> z pod</w:t>
            </w:r>
            <w:r>
              <w:rPr>
                <w:rFonts w:ascii="Times New Roman" w:hAnsi="Times New Roman"/>
                <w:sz w:val="24"/>
              </w:rPr>
              <w:t>ziałem na transze (uprzywilejowane/typu mezzanine/pierwszej straty).</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UPRZYWILEJOWANE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241FB6CF"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Kwota uprzywilejowanych pozycji sekurytyzacyjnych zdefiniowana</w:t>
            </w:r>
            <w:r w:rsidR="00FC4B69">
              <w:rPr>
                <w:rFonts w:ascii="Times New Roman" w:hAnsi="Times New Roman"/>
                <w:sz w:val="24"/>
              </w:rPr>
              <w:t xml:space="preserve"> w art</w:t>
            </w:r>
            <w:r>
              <w:rPr>
                <w:rFonts w:ascii="Times New Roman" w:hAnsi="Times New Roman"/>
                <w:sz w:val="24"/>
              </w:rPr>
              <w:t xml:space="preserve">. 242 pkt 6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PUNKT INICJUJĄCY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40E1C87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Punkt inicjujący (%),</w:t>
            </w:r>
            <w:r w:rsidR="00FC4B69">
              <w:rPr>
                <w:rFonts w:ascii="Times New Roman" w:hAnsi="Times New Roman"/>
                <w:sz w:val="24"/>
              </w:rPr>
              <w:t xml:space="preserve"> o któ</w:t>
            </w:r>
            <w:r>
              <w:rPr>
                <w:rFonts w:ascii="Times New Roman" w:hAnsi="Times New Roman"/>
                <w:sz w:val="24"/>
              </w:rPr>
              <w:t>rym mowa</w:t>
            </w:r>
            <w:r w:rsidR="00FC4B69">
              <w:rPr>
                <w:rFonts w:ascii="Times New Roman" w:hAnsi="Times New Roman"/>
                <w:sz w:val="24"/>
              </w:rPr>
              <w:t xml:space="preserve"> w art</w:t>
            </w:r>
            <w:r>
              <w:rPr>
                <w:rFonts w:ascii="Times New Roman" w:hAnsi="Times New Roman"/>
                <w:sz w:val="24"/>
              </w:rPr>
              <w:t xml:space="preserve">. 256 ust. 1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54E5263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w:t>
            </w:r>
            <w:r w:rsidR="00FC4B69">
              <w:rPr>
                <w:rFonts w:ascii="Times New Roman" w:hAnsi="Times New Roman"/>
                <w:sz w:val="24"/>
              </w:rPr>
              <w:t xml:space="preserve"> i 0</w:t>
            </w:r>
            <w:r>
              <w:rPr>
                <w:rFonts w:ascii="Times New Roman" w:hAnsi="Times New Roman"/>
                <w:sz w:val="24"/>
              </w:rPr>
              <w:t>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(Stopień jakości kredytowej)</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5FC0678C"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Stopnie jakości kredytowej przewidziane dla instytucji stosujących metodę SEC-ERBA (tabela 1</w:t>
            </w:r>
            <w:r w:rsidR="00FC4B69">
              <w:rPr>
                <w:rFonts w:ascii="Times New Roman" w:hAnsi="Times New Roman"/>
                <w:sz w:val="24"/>
              </w:rPr>
              <w:t xml:space="preserve"> i 2</w:t>
            </w:r>
            <w:r>
              <w:rPr>
                <w:rFonts w:ascii="Times New Roman" w:hAnsi="Times New Roman"/>
                <w:sz w:val="24"/>
              </w:rPr>
              <w:t> w art. 263 oraz tabele 3</w:t>
            </w:r>
            <w:r w:rsidR="00FC4B69">
              <w:rPr>
                <w:rFonts w:ascii="Times New Roman" w:hAnsi="Times New Roman"/>
                <w:sz w:val="24"/>
              </w:rPr>
              <w:t xml:space="preserve"> i 4</w:t>
            </w:r>
            <w:r>
              <w:rPr>
                <w:rFonts w:ascii="Times New Roman" w:hAnsi="Times New Roman"/>
                <w:sz w:val="24"/>
              </w:rPr>
              <w:t xml:space="preserve"> w art. 264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Kolumny te zgłasza się</w:t>
            </w:r>
            <w:r w:rsidR="00FC4B69">
              <w:rPr>
                <w:rFonts w:ascii="Times New Roman" w:hAnsi="Times New Roman"/>
                <w:sz w:val="24"/>
              </w:rPr>
              <w:t xml:space="preserve"> w odn</w:t>
            </w:r>
            <w:r>
              <w:rPr>
                <w:rFonts w:ascii="Times New Roman" w:hAnsi="Times New Roman"/>
                <w:sz w:val="24"/>
              </w:rPr>
              <w:t>iesieniu do wszystkich ocenianych transakcji, niezależnie od zastosowanej metody.</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TYPU 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Zgłaszana kwota obejmuje:</w:t>
            </w:r>
          </w:p>
          <w:p w14:paraId="0F36FD06" w14:textId="4AC8FF78"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pozycje sekurytyzacyjne typu mezzanine zdefiniowane</w:t>
            </w:r>
            <w:r w:rsidR="00FC4B69">
              <w:rPr>
                <w:rFonts w:ascii="Times New Roman" w:hAnsi="Times New Roman"/>
                <w:sz w:val="24"/>
              </w:rPr>
              <w:t xml:space="preserve"> w art</w:t>
            </w:r>
            <w:r>
              <w:rPr>
                <w:rFonts w:ascii="Times New Roman" w:hAnsi="Times New Roman"/>
                <w:sz w:val="24"/>
              </w:rPr>
              <w:t xml:space="preserve">. 242 pkt 18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4B95832E" w14:textId="531EE94B"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dodatkowe pozycje sekurytyzacyjne, które nie stanowią pozycji określonych</w:t>
            </w:r>
            <w:r w:rsidR="00FC4B69">
              <w:rPr>
                <w:rFonts w:ascii="Times New Roman" w:hAnsi="Times New Roman"/>
                <w:sz w:val="24"/>
              </w:rPr>
              <w:t xml:space="preserve"> w art</w:t>
            </w:r>
            <w:r>
              <w:rPr>
                <w:rFonts w:ascii="Times New Roman" w:hAnsi="Times New Roman"/>
                <w:sz w:val="24"/>
              </w:rPr>
              <w:t xml:space="preserve">. 242 pkt 6, 17 </w:t>
            </w:r>
            <w:r w:rsidRPr="00FC4B69">
              <w:rPr>
                <w:rFonts w:ascii="Times New Roman" w:hAnsi="Times New Roman"/>
                <w:sz w:val="24"/>
              </w:rPr>
              <w:t>lub</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8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LICZBA TRANSZ</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Liczba transz typu mezzanine.</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POZYCJI O NAJNIŻSZYM STOPNIU UPRZYWILEJOWANIA</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232370A0"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CQS, określone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63 tabela 2</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64 tabela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najbardziej podporządkowanej transzy typu mezzanine.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PIERWSZEJ STRATY</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18823318"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Kwota transzy pierwszej straty zdefiniowana</w:t>
            </w:r>
            <w:r w:rsidR="00FC4B69">
              <w:rPr>
                <w:rFonts w:ascii="Times New Roman" w:hAnsi="Times New Roman"/>
                <w:sz w:val="24"/>
              </w:rPr>
              <w:t xml:space="preserve"> w art</w:t>
            </w:r>
            <w:r>
              <w:rPr>
                <w:rFonts w:ascii="Times New Roman" w:hAnsi="Times New Roman"/>
                <w:sz w:val="24"/>
              </w:rPr>
              <w:t xml:space="preserve">. 242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7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PUNKT KOŃCZĄCY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F204D6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Punkt kończący (%),</w:t>
            </w:r>
            <w:r w:rsidR="00FC4B69">
              <w:rPr>
                <w:rFonts w:ascii="Times New Roman" w:hAnsi="Times New Roman"/>
                <w:sz w:val="24"/>
              </w:rPr>
              <w:t xml:space="preserve"> o któ</w:t>
            </w:r>
            <w:r>
              <w:rPr>
                <w:rFonts w:ascii="Times New Roman" w:hAnsi="Times New Roman"/>
                <w:sz w:val="24"/>
              </w:rPr>
              <w:t>rym mowa</w:t>
            </w:r>
            <w:r w:rsidR="00FC4B69">
              <w:rPr>
                <w:rFonts w:ascii="Times New Roman" w:hAnsi="Times New Roman"/>
                <w:sz w:val="24"/>
              </w:rPr>
              <w:t xml:space="preserve"> w art</w:t>
            </w:r>
            <w:r>
              <w:rPr>
                <w:rFonts w:ascii="Times New Roman" w:hAnsi="Times New Roman"/>
                <w:sz w:val="24"/>
              </w:rPr>
              <w:t xml:space="preserve">. 256 ust. 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(Stopień jakości kredytowej)</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NADZABEZPIECZENIE I RACHUNKI REZERW RZECZYWISTYCH</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5795E482"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 256 ust. 3</w:t>
            </w:r>
            <w:r w:rsidR="00FC4B69">
              <w:rPr>
                <w:rFonts w:ascii="Times New Roman" w:hAnsi="Times New Roman"/>
                <w:sz w:val="24"/>
              </w:rPr>
              <w:t xml:space="preserve"> i 4</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37BA117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Kwoty zabezpieczenia</w:t>
            </w:r>
            <w:r w:rsidR="00FC4B69">
              <w:rPr>
                <w:rFonts w:ascii="Times New Roman" w:hAnsi="Times New Roman"/>
                <w:sz w:val="24"/>
              </w:rPr>
              <w:t xml:space="preserve"> i rac</w:t>
            </w:r>
            <w:r>
              <w:rPr>
                <w:rFonts w:ascii="Times New Roman" w:hAnsi="Times New Roman"/>
                <w:sz w:val="24"/>
              </w:rPr>
              <w:t>hunki rezerw rzeczywistych niespełniające definicji „transzy” zawartej</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rozporządzenia (UE) 2017/2402, ale uznawane za transze do celów obliczenia punktu inicjującego</w:t>
            </w:r>
            <w:r w:rsidR="00FC4B69">
              <w:rPr>
                <w:rFonts w:ascii="Times New Roman" w:hAnsi="Times New Roman"/>
                <w:sz w:val="24"/>
              </w:rPr>
              <w:t xml:space="preserve"> i pun</w:t>
            </w:r>
            <w:r>
              <w:rPr>
                <w:rFonts w:ascii="Times New Roman" w:hAnsi="Times New Roman"/>
                <w:sz w:val="24"/>
              </w:rPr>
              <w:t>ktu kończącego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56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KWOTA</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 TYM: NIEPODLEGAJĄCE ZWROTOWI RABATY OD CENY ZAKUPU</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5433F401"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1 rozporządzenia (UE)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372D30F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Instytucje zgłaszają niepodlegające odliczeniu dyskonto cenowe przy zakupie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7</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na dzień sprawozdawczy, które jest korygowane</w:t>
            </w:r>
            <w:r w:rsidR="00FC4B69">
              <w:rPr>
                <w:rFonts w:ascii="Times New Roman" w:hAnsi="Times New Roman"/>
                <w:sz w:val="24"/>
              </w:rPr>
              <w:t xml:space="preserve"> w dół z uwz</w:t>
            </w:r>
            <w:r>
              <w:rPr>
                <w:rFonts w:ascii="Times New Roman" w:hAnsi="Times New Roman"/>
                <w:sz w:val="24"/>
              </w:rPr>
              <w:t>ględnieniem zrealizowanych strat, jak wskazano</w:t>
            </w:r>
            <w:r w:rsidR="00FC4B69">
              <w:rPr>
                <w:rFonts w:ascii="Times New Roman" w:hAnsi="Times New Roman"/>
                <w:sz w:val="24"/>
              </w:rPr>
              <w:t xml:space="preserve"> w aka</w:t>
            </w:r>
            <w:r>
              <w:rPr>
                <w:rFonts w:ascii="Times New Roman" w:hAnsi="Times New Roman"/>
                <w:sz w:val="24"/>
              </w:rPr>
              <w:t>picie drugim. Kolumnę tę zgłasza się wyłącznie</w:t>
            </w:r>
            <w:r w:rsidR="00FC4B69">
              <w:rPr>
                <w:rFonts w:ascii="Times New Roman" w:hAnsi="Times New Roman"/>
                <w:sz w:val="24"/>
              </w:rPr>
              <w:t xml:space="preserve"> w prz</w:t>
            </w:r>
            <w:r>
              <w:rPr>
                <w:rFonts w:ascii="Times New Roman" w:hAnsi="Times New Roman"/>
                <w:sz w:val="24"/>
              </w:rPr>
              <w:t>ypadku, gdy kolumna 0040 jest zgłaszana jako „Kwalifikująca się sekurytyzacja ekspozycji nieobsługiwanych” lub „Niekwalifikująca się sekurytyzacja ekspozycji nieobsługiwanych”.</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A8A653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W tym zestawieniu sześciu kolumn gromadzone są informacje na temat pozycji pozabilansowych</w:t>
            </w:r>
            <w:r w:rsidR="00FC4B69">
              <w:rPr>
                <w:rFonts w:ascii="Times New Roman" w:hAnsi="Times New Roman"/>
                <w:sz w:val="24"/>
              </w:rPr>
              <w:t xml:space="preserve"> i ins</w:t>
            </w:r>
            <w:r>
              <w:rPr>
                <w:rFonts w:ascii="Times New Roman" w:hAnsi="Times New Roman"/>
                <w:sz w:val="24"/>
              </w:rPr>
              <w:t xml:space="preserve">trumentów pochodnych przed zastosowaniem </w:t>
            </w:r>
            <w:r>
              <w:rPr>
                <w:rFonts w:ascii="Times New Roman" w:hAnsi="Times New Roman"/>
                <w:sz w:val="24"/>
              </w:rPr>
              <w:lastRenderedPageBreak/>
              <w:t>współczynników konwersji</w:t>
            </w:r>
            <w:r w:rsidR="00FC4B69">
              <w:rPr>
                <w:rFonts w:ascii="Times New Roman" w:hAnsi="Times New Roman"/>
                <w:sz w:val="24"/>
              </w:rPr>
              <w:t xml:space="preserve"> z pod</w:t>
            </w:r>
            <w:r>
              <w:rPr>
                <w:rFonts w:ascii="Times New Roman" w:hAnsi="Times New Roman"/>
                <w:sz w:val="24"/>
              </w:rPr>
              <w:t>ziałem na transze (uprzywilejowane/typu mezzanine/pierwszej straty).</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0260-0285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UPRZYWILEJOWANE / TYPU MEZZANINE / PIERWSZEJ STRATY</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0D0514F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tym miejscu stosuje się te same kryteria klasyfikacji transz</w:t>
            </w:r>
            <w:r w:rsidR="00FC4B69">
              <w:rPr>
                <w:rFonts w:ascii="Times New Roman" w:hAnsi="Times New Roman"/>
                <w:sz w:val="24"/>
              </w:rPr>
              <w:t xml:space="preserve"> i ide</w:t>
            </w:r>
            <w:r>
              <w:rPr>
                <w:rFonts w:ascii="Times New Roman" w:hAnsi="Times New Roman"/>
                <w:sz w:val="24"/>
              </w:rPr>
              <w:t>ntyfikacji punktu inicjującego, liczby transz</w:t>
            </w:r>
            <w:r w:rsidR="00FC4B69">
              <w:rPr>
                <w:rFonts w:ascii="Times New Roman" w:hAnsi="Times New Roman"/>
                <w:sz w:val="24"/>
              </w:rPr>
              <w:t xml:space="preserve"> i pun</w:t>
            </w:r>
            <w:r>
              <w:rPr>
                <w:rFonts w:ascii="Times New Roman" w:hAnsi="Times New Roman"/>
                <w:sz w:val="24"/>
              </w:rPr>
              <w:t>ktu kończącego, które stosuje się</w:t>
            </w:r>
            <w:r w:rsidR="00FC4B69">
              <w:rPr>
                <w:rFonts w:ascii="Times New Roman" w:hAnsi="Times New Roman"/>
                <w:sz w:val="24"/>
              </w:rPr>
              <w:t xml:space="preserve"> w odn</w:t>
            </w:r>
            <w:r>
              <w:rPr>
                <w:rFonts w:ascii="Times New Roman" w:hAnsi="Times New Roman"/>
                <w:sz w:val="24"/>
              </w:rPr>
              <w:t>iesieniu do pozycji bilansowych (zob. instrukcje dotyczące kolumn 0230–0252).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SYNTETYCZNA MARŻA NADWYŻKOWA</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6371AFD0"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242 pkt 20, art. 248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e)</w:t>
            </w:r>
            <w:r>
              <w:rPr>
                <w:rFonts w:ascii="Times New Roman" w:hAnsi="Times New Roman"/>
                <w:sz w:val="24"/>
              </w:rPr>
              <w:t xml:space="preserve"> oraz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56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420993EF" w14:textId="77777777" w:rsidR="00933ADA" w:rsidRPr="00E16840" w:rsidRDefault="00933ADA" w:rsidP="00822842">
            <w:pPr>
              <w:autoSpaceDE w:val="0"/>
              <w:autoSpaceDN w:val="0"/>
              <w:adjustRightInd w:val="0"/>
              <w:spacing w:before="0" w:after="0"/>
              <w:jc w:val="left"/>
              <w:rPr>
                <w:rFonts w:ascii="Times New Roman" w:hAnsi="Times New Roman"/>
                <w:sz w:val="24"/>
              </w:rPr>
            </w:pPr>
          </w:p>
          <w:p w14:paraId="047D18EF" w14:textId="1CD1758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Kolumnę tę zgłasza się wyłącznie</w:t>
            </w:r>
            <w:r w:rsidR="00FC4B69">
              <w:rPr>
                <w:rFonts w:ascii="Times New Roman" w:hAnsi="Times New Roman"/>
                <w:sz w:val="24"/>
              </w:rPr>
              <w:t xml:space="preserve"> w prz</w:t>
            </w:r>
            <w:r>
              <w:rPr>
                <w:rFonts w:ascii="Times New Roman" w:hAnsi="Times New Roman"/>
                <w:sz w:val="24"/>
              </w:rPr>
              <w:t>ypadku, gdy kolumna 0110 jest zgłaszana jako „Jednostka inicjująca”.</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TERMIN ZAPADALNOŚCI</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PIERWSZY PRZEWIDYWALNY TERMIN ROZWIĄZANIA UMOWY</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26A9F6AA" w:rsidR="00933ADA" w:rsidRPr="002A677E" w:rsidRDefault="00933ADA" w:rsidP="00822842">
            <w:pPr>
              <w:spacing w:before="0" w:after="0"/>
              <w:jc w:val="left"/>
              <w:rPr>
                <w:rFonts w:ascii="Times New Roman" w:hAnsi="Times New Roman"/>
                <w:sz w:val="24"/>
              </w:rPr>
            </w:pPr>
            <w:r>
              <w:rPr>
                <w:rFonts w:ascii="Times New Roman" w:hAnsi="Times New Roman"/>
                <w:sz w:val="24"/>
              </w:rPr>
              <w:t>Prawdopodobny termin rozwiązania umowy</w:t>
            </w:r>
            <w:r w:rsidR="00FC4B69">
              <w:rPr>
                <w:rFonts w:ascii="Times New Roman" w:hAnsi="Times New Roman"/>
                <w:sz w:val="24"/>
              </w:rPr>
              <w:t xml:space="preserve"> w odn</w:t>
            </w:r>
            <w:r>
              <w:rPr>
                <w:rFonts w:ascii="Times New Roman" w:hAnsi="Times New Roman"/>
                <w:sz w:val="24"/>
              </w:rPr>
              <w:t>iesieniu do całej sekurytyzacji</w:t>
            </w:r>
            <w:r w:rsidR="00FC4B69">
              <w:rPr>
                <w:rFonts w:ascii="Times New Roman" w:hAnsi="Times New Roman"/>
                <w:sz w:val="24"/>
              </w:rPr>
              <w:t xml:space="preserve"> w świ</w:t>
            </w:r>
            <w:r>
              <w:rPr>
                <w:rFonts w:ascii="Times New Roman" w:hAnsi="Times New Roman"/>
                <w:sz w:val="24"/>
              </w:rPr>
              <w:t>etle klauzul umownych</w:t>
            </w:r>
            <w:r w:rsidR="00FC4B69">
              <w:rPr>
                <w:rFonts w:ascii="Times New Roman" w:hAnsi="Times New Roman"/>
                <w:sz w:val="24"/>
              </w:rPr>
              <w:t xml:space="preserve"> i akt</w:t>
            </w:r>
            <w:r>
              <w:rPr>
                <w:rFonts w:ascii="Times New Roman" w:hAnsi="Times New Roman"/>
                <w:sz w:val="24"/>
              </w:rPr>
              <w:t>ualnie przewidywanych warunków finansowych. Zwykle będzie to najwcześniejsza</w:t>
            </w:r>
            <w:r w:rsidR="00FC4B69">
              <w:rPr>
                <w:rFonts w:ascii="Times New Roman" w:hAnsi="Times New Roman"/>
                <w:sz w:val="24"/>
              </w:rPr>
              <w:t xml:space="preserve"> z nas</w:t>
            </w:r>
            <w:r>
              <w:rPr>
                <w:rFonts w:ascii="Times New Roman" w:hAnsi="Times New Roman"/>
                <w:sz w:val="24"/>
              </w:rPr>
              <w:t xml:space="preserve">tępujących dat: </w:t>
            </w:r>
          </w:p>
          <w:p w14:paraId="35C01B68" w14:textId="77777777" w:rsidR="00933ADA" w:rsidRPr="002A677E" w:rsidRDefault="00933ADA" w:rsidP="00822842">
            <w:pPr>
              <w:spacing w:before="0" w:after="0"/>
              <w:jc w:val="left"/>
              <w:rPr>
                <w:rFonts w:ascii="Times New Roman" w:hAnsi="Times New Roman"/>
                <w:sz w:val="24"/>
              </w:rPr>
            </w:pPr>
          </w:p>
          <w:p w14:paraId="25E84331" w14:textId="111AF664"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termin,</w:t>
            </w:r>
            <w:r w:rsidR="00FC4B69">
              <w:rPr>
                <w:rFonts w:ascii="Times New Roman" w:hAnsi="Times New Roman"/>
                <w:sz w:val="24"/>
              </w:rPr>
              <w:t xml:space="preserve"> w któ</w:t>
            </w:r>
            <w:r>
              <w:rPr>
                <w:rFonts w:ascii="Times New Roman" w:hAnsi="Times New Roman"/>
                <w:sz w:val="24"/>
              </w:rPr>
              <w:t>rym można po raz pierwszy skorzystać</w:t>
            </w:r>
            <w:r w:rsidR="00FC4B69">
              <w:rPr>
                <w:rFonts w:ascii="Times New Roman" w:hAnsi="Times New Roman"/>
                <w:sz w:val="24"/>
              </w:rPr>
              <w:t xml:space="preserve"> z opc</w:t>
            </w:r>
            <w:r>
              <w:rPr>
                <w:rFonts w:ascii="Times New Roman" w:hAnsi="Times New Roman"/>
                <w:sz w:val="24"/>
              </w:rPr>
              <w:t>ji odkupu końcowego (określonej</w:t>
            </w:r>
            <w:r w:rsidR="00FC4B69">
              <w:rPr>
                <w:rFonts w:ascii="Times New Roman" w:hAnsi="Times New Roman"/>
                <w:sz w:val="24"/>
              </w:rPr>
              <w:t xml:space="preserve"> w art</w:t>
            </w:r>
            <w:r>
              <w:rPr>
                <w:rFonts w:ascii="Times New Roman" w:hAnsi="Times New Roman"/>
                <w:sz w:val="24"/>
              </w:rPr>
              <w:t xml:space="preserve">. 242 </w:t>
            </w:r>
            <w:r w:rsidRPr="00FC4B69">
              <w:rPr>
                <w:rFonts w:ascii="Times New Roman" w:hAnsi="Times New Roman"/>
                <w:sz w:val="24"/>
              </w:rPr>
              <w:t>pkt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biorąc pod uwagę termin zapadalności ekspozycji bazowej oraz oczekiwany współczynnik wcześniejszej spłaty lub potencjalne działania renegocjacyjne;</w:t>
            </w:r>
          </w:p>
          <w:p w14:paraId="5A66838B" w14:textId="77777777" w:rsidR="00933ADA" w:rsidRPr="002A677E" w:rsidRDefault="00933ADA" w:rsidP="00822842">
            <w:pPr>
              <w:spacing w:before="0" w:after="0"/>
              <w:jc w:val="left"/>
              <w:rPr>
                <w:rFonts w:ascii="Times New Roman" w:hAnsi="Times New Roman"/>
                <w:sz w:val="24"/>
              </w:rPr>
            </w:pPr>
          </w:p>
          <w:p w14:paraId="29D1560C" w14:textId="675B29F9"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termin,</w:t>
            </w:r>
            <w:r w:rsidR="00FC4B69">
              <w:rPr>
                <w:rFonts w:ascii="Times New Roman" w:hAnsi="Times New Roman"/>
                <w:sz w:val="24"/>
              </w:rPr>
              <w:t xml:space="preserve"> w któ</w:t>
            </w:r>
            <w:r>
              <w:rPr>
                <w:rFonts w:ascii="Times New Roman" w:hAnsi="Times New Roman"/>
                <w:sz w:val="24"/>
              </w:rPr>
              <w:t>rym jednostka inicjująca może po raz pierwszy skorzystać</w:t>
            </w:r>
            <w:r w:rsidR="00FC4B69">
              <w:rPr>
                <w:rFonts w:ascii="Times New Roman" w:hAnsi="Times New Roman"/>
                <w:sz w:val="24"/>
              </w:rPr>
              <w:t xml:space="preserve"> z jak</w:t>
            </w:r>
            <w:r>
              <w:rPr>
                <w:rFonts w:ascii="Times New Roman" w:hAnsi="Times New Roman"/>
                <w:sz w:val="24"/>
              </w:rPr>
              <w:t>iejkolwiek innej opcji kupna przewidzianej</w:t>
            </w:r>
            <w:r w:rsidR="00FC4B69">
              <w:rPr>
                <w:rFonts w:ascii="Times New Roman" w:hAnsi="Times New Roman"/>
                <w:sz w:val="24"/>
              </w:rPr>
              <w:t xml:space="preserve"> w kla</w:t>
            </w:r>
            <w:r>
              <w:rPr>
                <w:rFonts w:ascii="Times New Roman" w:hAnsi="Times New Roman"/>
                <w:sz w:val="24"/>
              </w:rPr>
              <w:t>uzulach umownych sekurytyzacji, co spowodowałoby całkowity wykup sekurytyzacji.</w:t>
            </w:r>
          </w:p>
          <w:p w14:paraId="5EDEC913" w14:textId="77777777" w:rsidR="00933ADA" w:rsidRPr="002A677E" w:rsidRDefault="00933ADA" w:rsidP="00822842">
            <w:pPr>
              <w:spacing w:before="0" w:after="0"/>
              <w:jc w:val="left"/>
              <w:rPr>
                <w:rFonts w:ascii="Times New Roman" w:hAnsi="Times New Roman"/>
                <w:sz w:val="24"/>
              </w:rPr>
            </w:pPr>
          </w:p>
          <w:p w14:paraId="23D4B904" w14:textId="0EE2E9B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Zgłasza się dzień, miesiąc</w:t>
            </w:r>
            <w:r w:rsidR="00FC4B69">
              <w:rPr>
                <w:rFonts w:ascii="Times New Roman" w:hAnsi="Times New Roman"/>
                <w:sz w:val="24"/>
              </w:rPr>
              <w:t xml:space="preserve"> i rok</w:t>
            </w:r>
            <w:r>
              <w:rPr>
                <w:rFonts w:ascii="Times New Roman" w:hAnsi="Times New Roman"/>
                <w:sz w:val="24"/>
              </w:rPr>
              <w:t xml:space="preserve"> pierwszego oczekiwanego terminu rozwiązania umowy sekurytyzacji.</w:t>
            </w:r>
            <w:r>
              <w:rPr>
                <w:rFonts w:ascii="Times New Roman" w:hAnsi="Times New Roman"/>
              </w:rPr>
              <w:t xml:space="preserve"> </w:t>
            </w:r>
            <w:r>
              <w:rPr>
                <w:rFonts w:ascii="Times New Roman" w:hAnsi="Times New Roman"/>
                <w:sz w:val="24"/>
              </w:rPr>
              <w:t>Konkretny dzień zgłasza się, gdy te informacje są dostępne,</w:t>
            </w:r>
            <w:r w:rsidR="00FC4B69">
              <w:rPr>
                <w:rFonts w:ascii="Times New Roman" w:hAnsi="Times New Roman"/>
                <w:sz w:val="24"/>
              </w:rPr>
              <w:t xml:space="preserve"> w prz</w:t>
            </w:r>
            <w:r>
              <w:rPr>
                <w:rFonts w:ascii="Times New Roman" w:hAnsi="Times New Roman"/>
                <w:sz w:val="24"/>
              </w:rPr>
              <w:t>eciwnym razie zgłasza się pierwszy dzień miesiąca.</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ZAWARTE W TRANSAKCJI OPCJE KUPNA PRZYSŁUGUJĄCE JEDNOSTCE INICJUJĄCEJ</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Rodzaj opcji kupna stosownej dla pierwszego oczekiwanego terminu rozwiązania umowy sekurytyzacji:</w:t>
            </w:r>
          </w:p>
          <w:p w14:paraId="38215DAF" w14:textId="472AD1DF"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opcja odkupu końcowego spełniająca wymogi art. 244 ust. 4 lit. g)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inna opcja odkupu końcowego;</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inny rodzaj opcji kupna.</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USTAWOWY OSTATECZNY TERMIN ZAPADALNOŚCI</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31A8E15" w:rsidR="00933ADA" w:rsidRPr="002A677E" w:rsidRDefault="00933ADA" w:rsidP="00822842">
            <w:pPr>
              <w:spacing w:before="0" w:after="0"/>
              <w:jc w:val="left"/>
              <w:rPr>
                <w:rFonts w:ascii="Times New Roman" w:hAnsi="Times New Roman"/>
                <w:sz w:val="24"/>
              </w:rPr>
            </w:pPr>
            <w:r>
              <w:rPr>
                <w:rFonts w:ascii="Times New Roman" w:hAnsi="Times New Roman"/>
                <w:sz w:val="24"/>
              </w:rPr>
              <w:t>Termin,</w:t>
            </w:r>
            <w:r w:rsidR="00FC4B69">
              <w:rPr>
                <w:rFonts w:ascii="Times New Roman" w:hAnsi="Times New Roman"/>
                <w:sz w:val="24"/>
              </w:rPr>
              <w:t xml:space="preserve"> w któ</w:t>
            </w:r>
            <w:r>
              <w:rPr>
                <w:rFonts w:ascii="Times New Roman" w:hAnsi="Times New Roman"/>
                <w:sz w:val="24"/>
              </w:rPr>
              <w:t>rym zgodnie</w:t>
            </w:r>
            <w:r w:rsidR="00FC4B69">
              <w:rPr>
                <w:rFonts w:ascii="Times New Roman" w:hAnsi="Times New Roman"/>
                <w:sz w:val="24"/>
              </w:rPr>
              <w:t xml:space="preserve"> z pra</w:t>
            </w:r>
            <w:r>
              <w:rPr>
                <w:rFonts w:ascii="Times New Roman" w:hAnsi="Times New Roman"/>
                <w:sz w:val="24"/>
              </w:rPr>
              <w:t>wem należy spłacić całość kwoty głównej sekurytyzacji oraz odsetki (na podstawie dokumentacji transakcji).</w:t>
            </w:r>
          </w:p>
          <w:p w14:paraId="129DBF64" w14:textId="77777777" w:rsidR="00933ADA" w:rsidRPr="002A677E" w:rsidRDefault="00933ADA" w:rsidP="00822842">
            <w:pPr>
              <w:spacing w:before="0" w:after="0"/>
              <w:jc w:val="left"/>
              <w:rPr>
                <w:rFonts w:ascii="Times New Roman" w:hAnsi="Times New Roman"/>
                <w:sz w:val="24"/>
              </w:rPr>
            </w:pPr>
          </w:p>
          <w:p w14:paraId="48C42696" w14:textId="4FBB91C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Zgłasza się dzień, miesiąc</w:t>
            </w:r>
            <w:r w:rsidR="00FC4B69">
              <w:rPr>
                <w:rFonts w:ascii="Times New Roman" w:hAnsi="Times New Roman"/>
                <w:sz w:val="24"/>
              </w:rPr>
              <w:t xml:space="preserve"> i rok</w:t>
            </w:r>
            <w:r>
              <w:rPr>
                <w:rFonts w:ascii="Times New Roman" w:hAnsi="Times New Roman"/>
                <w:sz w:val="24"/>
              </w:rPr>
              <w:t xml:space="preserve"> ustawowego ostatecznego terminu zapadalności.</w:t>
            </w:r>
            <w:r>
              <w:rPr>
                <w:rFonts w:ascii="Times New Roman" w:hAnsi="Times New Roman"/>
              </w:rPr>
              <w:t xml:space="preserve"> </w:t>
            </w:r>
            <w:r>
              <w:rPr>
                <w:rFonts w:ascii="Times New Roman" w:hAnsi="Times New Roman"/>
                <w:sz w:val="24"/>
              </w:rPr>
              <w:t>Konkretny dzień zgłasza się, gdy te informacje są dostępne,</w:t>
            </w:r>
            <w:r w:rsidR="00FC4B69">
              <w:rPr>
                <w:rFonts w:ascii="Times New Roman" w:hAnsi="Times New Roman"/>
                <w:sz w:val="24"/>
              </w:rPr>
              <w:t xml:space="preserve"> w prz</w:t>
            </w:r>
            <w:r>
              <w:rPr>
                <w:rFonts w:ascii="Times New Roman" w:hAnsi="Times New Roman"/>
                <w:sz w:val="24"/>
              </w:rPr>
              <w:t>eciwnym razie zgłasza się pierwszy dzień miesiąca.</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POZYCJE UZUPEŁNIAJĄCE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PUNKT INICJUJĄCY SPRZEDANEGO RYZYKA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2CDAA67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Jednostki inicjujące zgłaszają wyłącznie punkt inicjujący najbardziej podporządkowanej transzy sprzedanej na rzecz tradycyjnych sekurytyzacji lub chronionej przez osoby trzecie</w:t>
            </w:r>
            <w:r w:rsidR="00FC4B69">
              <w:rPr>
                <w:rFonts w:ascii="Times New Roman" w:hAnsi="Times New Roman"/>
                <w:sz w:val="24"/>
              </w:rPr>
              <w:t xml:space="preserve"> w prz</w:t>
            </w:r>
            <w:r>
              <w:rPr>
                <w:rFonts w:ascii="Times New Roman" w:hAnsi="Times New Roman"/>
                <w:sz w:val="24"/>
              </w:rPr>
              <w:t>ypadku sekurytyzacji syntetycznych.</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PUNKT KOŃCZĄCY SPRZEDANEGO RYZYKA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129066E2" w:rsidR="00933ADA" w:rsidRPr="002A677E" w:rsidRDefault="00933ADA" w:rsidP="00822842">
            <w:pPr>
              <w:spacing w:before="0" w:after="0"/>
              <w:jc w:val="left"/>
              <w:rPr>
                <w:rFonts w:ascii="Times New Roman" w:hAnsi="Times New Roman"/>
                <w:sz w:val="24"/>
              </w:rPr>
            </w:pPr>
            <w:r>
              <w:rPr>
                <w:rFonts w:ascii="Times New Roman" w:hAnsi="Times New Roman"/>
                <w:sz w:val="24"/>
              </w:rPr>
              <w:t>Jednostki inicjujące zgłaszają wyłącznie punkt kończący najstarszej transzy sprzedanej na rzecz tradycyjnych sekurytyzacji lub chronionej przez osoby trzecie</w:t>
            </w:r>
            <w:r w:rsidR="00FC4B69">
              <w:rPr>
                <w:rFonts w:ascii="Times New Roman" w:hAnsi="Times New Roman"/>
                <w:sz w:val="24"/>
              </w:rPr>
              <w:t xml:space="preserve"> w prz</w:t>
            </w:r>
            <w:r>
              <w:rPr>
                <w:rFonts w:ascii="Times New Roman" w:hAnsi="Times New Roman"/>
                <w:sz w:val="24"/>
              </w:rPr>
              <w:t>ypadku sekurytyzacji syntetycznych.</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TRANSFER RYZYKA DEKLAROWANY PRZEZ INSTYTUCJĘ INICJUJĄCĄ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37858532" w:rsidR="00933ADA" w:rsidRPr="002A677E" w:rsidRDefault="00933ADA" w:rsidP="00822842">
            <w:pPr>
              <w:spacing w:before="0" w:after="0"/>
              <w:jc w:val="left"/>
              <w:rPr>
                <w:rFonts w:ascii="Times New Roman" w:hAnsi="Times New Roman"/>
                <w:sz w:val="24"/>
              </w:rPr>
            </w:pPr>
            <w:r>
              <w:rPr>
                <w:rFonts w:ascii="Times New Roman" w:hAnsi="Times New Roman"/>
                <w:sz w:val="24"/>
              </w:rPr>
              <w:t>Jednostki inicjujące zgłaszają wyłącznie oczekiwaną stratę (EL) plus nieoczekiwaną stratę (UL) aktywów sekurytyzowanych przekazanych stronom trzecim jako odsetek całkowitej EL plus UL. Zgłasza się EL I UL ekspozycji bazowych, które następnie przypisuje się poprzez sekurytyzację kaskadową do odpowiednich transz sekurytyzacyjnych</w:t>
            </w:r>
            <w:r w:rsidR="00FC4B69">
              <w:rPr>
                <w:rFonts w:ascii="Times New Roman" w:hAnsi="Times New Roman"/>
                <w:sz w:val="24"/>
              </w:rPr>
              <w:t>. W odn</w:t>
            </w:r>
            <w:r>
              <w:rPr>
                <w:rFonts w:ascii="Times New Roman" w:hAnsi="Times New Roman"/>
                <w:sz w:val="24"/>
              </w:rPr>
              <w:t xml:space="preserve">iesieniu do banków SA EL stanowi konkretną korektę ryzyka kredytowego aktywów sekurytyzowanych, a UL stanowi wymóg kapitałowy sekurytyzowanych ekspozycji.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tab/>
      </w:r>
      <w:r>
        <w:rPr>
          <w:rFonts w:ascii="Times New Roman" w:hAnsi="Times New Roman"/>
          <w:sz w:val="24"/>
        </w:rPr>
        <w:t>C 14.01 – Szczegółowe informacje na temat sekurytyzacji (SEC SZCZEGÓŁY 2)</w:t>
      </w:r>
      <w:bookmarkEnd w:id="20"/>
      <w:bookmarkEnd w:id="21"/>
    </w:p>
    <w:bookmarkStart w:id="22" w:name="_Toc522019896"/>
    <w:p w14:paraId="6C77927B" w14:textId="2E316EF2"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Wzór SEC Szczegóły 2 zgłasza się osobno</w:t>
      </w:r>
      <w:r w:rsidR="00FC4B69">
        <w:t xml:space="preserve"> w odn</w:t>
      </w:r>
      <w:r>
        <w:t>iesieniu do następujących metod:</w:t>
      </w:r>
    </w:p>
    <w:p w14:paraId="423B77E9" w14:textId="77777777" w:rsidR="00933ADA" w:rsidRPr="00E16840" w:rsidRDefault="00933ADA" w:rsidP="00933ADA">
      <w:pPr>
        <w:pStyle w:val="InstructionsText2"/>
        <w:numPr>
          <w:ilvl w:val="0"/>
          <w:numId w:val="0"/>
        </w:numPr>
        <w:ind w:left="993"/>
        <w:rPr>
          <w:lang w:val="fr-FR"/>
        </w:rPr>
      </w:pPr>
      <w:r w:rsidRPr="00E16840">
        <w:rPr>
          <w:lang w:val="fr-FR"/>
        </w:rPr>
        <w:t>1) SEC-IRBA;</w:t>
      </w:r>
    </w:p>
    <w:p w14:paraId="7E740FF7" w14:textId="77777777" w:rsidR="00933ADA" w:rsidRPr="00E16840" w:rsidRDefault="00933ADA" w:rsidP="00933ADA">
      <w:pPr>
        <w:pStyle w:val="InstructionsText2"/>
        <w:numPr>
          <w:ilvl w:val="0"/>
          <w:numId w:val="0"/>
        </w:numPr>
        <w:ind w:left="993"/>
        <w:rPr>
          <w:lang w:val="fr-FR"/>
        </w:rPr>
      </w:pPr>
      <w:r w:rsidRPr="00E16840">
        <w:rPr>
          <w:lang w:val="fr-FR"/>
        </w:rPr>
        <w:t>2) SEC-SA;</w:t>
      </w:r>
    </w:p>
    <w:p w14:paraId="45956D44" w14:textId="77777777" w:rsidR="00933ADA" w:rsidRPr="00E16840" w:rsidRDefault="00933ADA" w:rsidP="00933ADA">
      <w:pPr>
        <w:pStyle w:val="InstructionsText2"/>
        <w:numPr>
          <w:ilvl w:val="0"/>
          <w:numId w:val="0"/>
        </w:numPr>
        <w:ind w:left="993"/>
        <w:rPr>
          <w:lang w:val="fr-FR"/>
        </w:rPr>
      </w:pPr>
      <w:r w:rsidRPr="00E16840">
        <w:rPr>
          <w:lang w:val="fr-FR"/>
        </w:rPr>
        <w:t>3) SEC-ERBA;</w:t>
      </w:r>
    </w:p>
    <w:p w14:paraId="108DB155" w14:textId="44CB8C32" w:rsidR="00933ADA" w:rsidRDefault="00933ADA" w:rsidP="00933ADA">
      <w:pPr>
        <w:pStyle w:val="InstructionsText2"/>
        <w:numPr>
          <w:ilvl w:val="0"/>
          <w:numId w:val="0"/>
        </w:numPr>
        <w:ind w:left="993"/>
      </w:pPr>
      <w:r>
        <w:t>4) 1 25</w:t>
      </w:r>
      <w:r w:rsidRPr="00FC4B69">
        <w:t>0</w:t>
      </w:r>
      <w:r w:rsidR="00FC4B69" w:rsidRPr="00FC4B69">
        <w:t> </w:t>
      </w:r>
      <w:r w:rsidRPr="00FC4B69">
        <w:t>%</w:t>
      </w:r>
      <w:r>
        <w:t>;</w:t>
      </w:r>
    </w:p>
    <w:p w14:paraId="26D8C560" w14:textId="77777777" w:rsidR="00933ADA" w:rsidRDefault="00933ADA" w:rsidP="00933ADA">
      <w:pPr>
        <w:pStyle w:val="InstructionsText2"/>
        <w:numPr>
          <w:ilvl w:val="0"/>
          <w:numId w:val="0"/>
        </w:numPr>
        <w:ind w:left="993"/>
      </w:pPr>
      <w:r>
        <w:t>5) metoda wewnętrznych oszacowań;</w:t>
      </w:r>
    </w:p>
    <w:p w14:paraId="6518AFE4" w14:textId="77777777" w:rsidR="00933ADA" w:rsidRPr="002A677E" w:rsidRDefault="00933ADA" w:rsidP="00933ADA">
      <w:pPr>
        <w:pStyle w:val="InstructionsText2"/>
        <w:numPr>
          <w:ilvl w:val="0"/>
          <w:numId w:val="0"/>
        </w:numPr>
        <w:ind w:left="993"/>
      </w:pPr>
      <w:r>
        <w:lastRenderedPageBreak/>
        <w:t>6) szczególne traktowanie transz uprzywilejowanych kwalifikujących się sekurytyzacji ekspozycji nieobsługiwanych.</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Kolumny</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KOD WEWNĘTRZNY</w:t>
            </w:r>
          </w:p>
          <w:p w14:paraId="4B368664" w14:textId="77777777" w:rsidR="00933ADA" w:rsidRPr="002A677E" w:rsidRDefault="00933ADA" w:rsidP="00822842">
            <w:pPr>
              <w:spacing w:before="0" w:after="0"/>
              <w:jc w:val="left"/>
              <w:rPr>
                <w:rFonts w:ascii="Times New Roman" w:hAnsi="Times New Roman"/>
                <w:sz w:val="24"/>
              </w:rPr>
            </w:pPr>
          </w:p>
          <w:p w14:paraId="05CE8BE3" w14:textId="26ED178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Wewnętrzny (alfanumeryczny) kod stosowany przez instytucję</w:t>
            </w:r>
            <w:r w:rsidR="00FC4B69">
              <w:rPr>
                <w:rFonts w:ascii="Times New Roman" w:hAnsi="Times New Roman"/>
                <w:sz w:val="24"/>
              </w:rPr>
              <w:t xml:space="preserve"> w cel</w:t>
            </w:r>
            <w:r>
              <w:rPr>
                <w:rFonts w:ascii="Times New Roman" w:hAnsi="Times New Roman"/>
                <w:sz w:val="24"/>
              </w:rPr>
              <w:t>u identyfikacji sekurytyzacji. Kod wewnętrzny związany jest</w:t>
            </w:r>
            <w:r w:rsidR="00FC4B69">
              <w:rPr>
                <w:rFonts w:ascii="Times New Roman" w:hAnsi="Times New Roman"/>
                <w:sz w:val="24"/>
              </w:rPr>
              <w:t xml:space="preserve"> z ide</w:t>
            </w:r>
            <w:r>
              <w:rPr>
                <w:rFonts w:ascii="Times New Roman" w:hAnsi="Times New Roman"/>
                <w:sz w:val="24"/>
              </w:rPr>
              <w:t>ntyfikatorem transakcji sekurytyzacji.</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NIEPOWTARZALNY IDENTYFIKATOR</w:t>
            </w:r>
          </w:p>
          <w:p w14:paraId="47FAD02D" w14:textId="77777777" w:rsidR="00933ADA" w:rsidRDefault="00933ADA" w:rsidP="00822842">
            <w:pPr>
              <w:spacing w:before="0" w:after="0"/>
              <w:jc w:val="left"/>
              <w:rPr>
                <w:rFonts w:ascii="Times New Roman" w:hAnsi="Times New Roman"/>
                <w:b/>
                <w:sz w:val="24"/>
                <w:u w:val="single"/>
              </w:rPr>
            </w:pPr>
          </w:p>
          <w:p w14:paraId="7C11305A" w14:textId="5D18EECB" w:rsidR="00933ADA" w:rsidRDefault="00933ADA" w:rsidP="00822842">
            <w:pPr>
              <w:spacing w:before="0" w:after="0"/>
              <w:jc w:val="left"/>
              <w:rPr>
                <w:rFonts w:ascii="Times New Roman" w:hAnsi="Times New Roman"/>
                <w:sz w:val="24"/>
              </w:rPr>
            </w:pPr>
            <w:r>
              <w:rPr>
                <w:rFonts w:ascii="Times New Roman" w:hAnsi="Times New Roman"/>
                <w:sz w:val="24"/>
              </w:rPr>
              <w:t>W przypadku sekurytyzacji wyemitowanych</w:t>
            </w:r>
            <w:r w:rsidR="00FC4B69">
              <w:rPr>
                <w:rFonts w:ascii="Times New Roman" w:hAnsi="Times New Roman"/>
                <w:sz w:val="24"/>
              </w:rPr>
              <w:t xml:space="preserve"> w dni</w:t>
            </w:r>
            <w:r>
              <w:rPr>
                <w:rFonts w:ascii="Times New Roman" w:hAnsi="Times New Roman"/>
                <w:sz w:val="24"/>
              </w:rPr>
              <w:t>u 1 stycznia 20</w:t>
            </w:r>
            <w:r w:rsidRPr="00FC4B69">
              <w:rPr>
                <w:rFonts w:ascii="Times New Roman" w:hAnsi="Times New Roman"/>
                <w:sz w:val="24"/>
              </w:rPr>
              <w:t>19</w:t>
            </w:r>
            <w:r w:rsidR="00FC4B69" w:rsidRPr="00FC4B69">
              <w:rPr>
                <w:rFonts w:ascii="Times New Roman" w:hAnsi="Times New Roman"/>
                <w:sz w:val="24"/>
              </w:rPr>
              <w:t> </w:t>
            </w:r>
            <w:r w:rsidRPr="00FC4B69">
              <w:rPr>
                <w:rFonts w:ascii="Times New Roman" w:hAnsi="Times New Roman"/>
                <w:sz w:val="24"/>
              </w:rPr>
              <w:t>r.</w:t>
            </w:r>
            <w:r>
              <w:rPr>
                <w:rFonts w:ascii="Times New Roman" w:hAnsi="Times New Roman"/>
                <w:sz w:val="24"/>
              </w:rPr>
              <w:t xml:space="preserve"> lub później instytucje zgłaszają niepowtarzalny identyfikator zdefiniowany</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rozporządzenia delegowanego Komisji (UE) 2020/1224.</w:t>
            </w:r>
          </w:p>
          <w:p w14:paraId="539970B2" w14:textId="0F2B64D8" w:rsidR="003A06D5" w:rsidRPr="003A06D5" w:rsidRDefault="003A06D5" w:rsidP="00822842">
            <w:pPr>
              <w:spacing w:before="0" w:after="0"/>
              <w:jc w:val="left"/>
              <w:rPr>
                <w:rFonts w:ascii="Times New Roman" w:hAnsi="Times New Roman"/>
                <w:sz w:val="24"/>
              </w:rPr>
            </w:pPr>
            <w:r>
              <w:rPr>
                <w:rFonts w:ascii="Times New Roman" w:hAnsi="Times New Roman"/>
                <w:sz w:val="24"/>
              </w:rPr>
              <w:t>Niepowtarzalny identyfikator zgłasza się zarówno</w:t>
            </w:r>
            <w:r w:rsidR="00FC4B69">
              <w:rPr>
                <w:rFonts w:ascii="Times New Roman" w:hAnsi="Times New Roman"/>
                <w:sz w:val="24"/>
              </w:rPr>
              <w:t xml:space="preserve"> w odn</w:t>
            </w:r>
            <w:r>
              <w:rPr>
                <w:rFonts w:ascii="Times New Roman" w:hAnsi="Times New Roman"/>
                <w:sz w:val="24"/>
              </w:rPr>
              <w:t>iesieniu do pozycji jednostki inicjującej lub jednostki sponsorującej, jak</w:t>
            </w:r>
            <w:r w:rsidR="00FC4B69">
              <w:rPr>
                <w:rFonts w:ascii="Times New Roman" w:hAnsi="Times New Roman"/>
                <w:sz w:val="24"/>
              </w:rPr>
              <w:t xml:space="preserve"> i poz</w:t>
            </w:r>
            <w:r>
              <w:rPr>
                <w:rFonts w:ascii="Times New Roman" w:hAnsi="Times New Roman"/>
                <w:sz w:val="24"/>
              </w:rPr>
              <w:t>ycji inwestora,</w:t>
            </w:r>
            <w:r w:rsidR="00FC4B69">
              <w:rPr>
                <w:rFonts w:ascii="Times New Roman" w:hAnsi="Times New Roman"/>
                <w:sz w:val="24"/>
              </w:rPr>
              <w:t xml:space="preserve"> i nie</w:t>
            </w:r>
            <w:r>
              <w:rPr>
                <w:rFonts w:ascii="Times New Roman" w:hAnsi="Times New Roman"/>
                <w:sz w:val="24"/>
              </w:rPr>
              <w:t xml:space="preserve"> przewiduje się, że ulegnie on zmianie</w:t>
            </w:r>
            <w:r w:rsidR="00FC4B69">
              <w:rPr>
                <w:rFonts w:ascii="Times New Roman" w:hAnsi="Times New Roman"/>
                <w:sz w:val="24"/>
              </w:rPr>
              <w:t xml:space="preserve"> w zal</w:t>
            </w:r>
            <w:r>
              <w:rPr>
                <w:rFonts w:ascii="Times New Roman" w:hAnsi="Times New Roman"/>
                <w:sz w:val="24"/>
              </w:rPr>
              <w:t>eżności od poziomu sprawozdawczości (poziom skonsolidowany lub podgrupy).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a)</w:t>
            </w:r>
            <w:r>
              <w:rPr>
                <w:rFonts w:ascii="Times New Roman" w:hAnsi="Times New Roman"/>
                <w:sz w:val="24"/>
              </w:rPr>
              <w:t xml:space="preserve"> identyfikator podmiotu prawnego (pierwsza pozycja niepowtarzalnego identyfikatora) jest ściśle zdefiniowany jako identyfikator podmiotu prawnego „jednostki sprawozdawczej”,</w:t>
            </w:r>
            <w:r w:rsidR="00FC4B69">
              <w:rPr>
                <w:rFonts w:ascii="Times New Roman" w:hAnsi="Times New Roman"/>
                <w:sz w:val="24"/>
              </w:rPr>
              <w:t xml:space="preserve"> o któ</w:t>
            </w:r>
            <w:r>
              <w:rPr>
                <w:rFonts w:ascii="Times New Roman" w:hAnsi="Times New Roman"/>
                <w:sz w:val="24"/>
              </w:rPr>
              <w:t>rej mowa</w:t>
            </w:r>
            <w:r w:rsidR="00FC4B69">
              <w:rPr>
                <w:rFonts w:ascii="Times New Roman" w:hAnsi="Times New Roman"/>
                <w:sz w:val="24"/>
              </w:rPr>
              <w:t xml:space="preserve"> w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7</w:t>
            </w:r>
            <w:r>
              <w:rPr>
                <w:rFonts w:ascii="Times New Roman" w:hAnsi="Times New Roman"/>
                <w:sz w:val="24"/>
              </w:rPr>
              <w:t xml:space="preserve">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 rozporządzenia (UE) 2017/2402</w:t>
            </w:r>
            <w:r w:rsidR="00FC4B69">
              <w:rPr>
                <w:rFonts w:ascii="Times New Roman" w:hAnsi="Times New Roman"/>
                <w:sz w:val="24"/>
              </w:rPr>
              <w:t>. W nie</w:t>
            </w:r>
            <w:r>
              <w:rPr>
                <w:rFonts w:ascii="Times New Roman" w:hAnsi="Times New Roman"/>
                <w:sz w:val="24"/>
              </w:rPr>
              <w:t>których przypadkach instytucja zgłaszająca wzory COREP i „jednostka sprawozdawcza” (np. jeżeli jest jednostką inicjującą lub jednostką sponsorującą),</w:t>
            </w:r>
            <w:r w:rsidR="00FC4B69">
              <w:rPr>
                <w:rFonts w:ascii="Times New Roman" w:hAnsi="Times New Roman"/>
                <w:sz w:val="24"/>
              </w:rPr>
              <w:t xml:space="preserve"> w nie</w:t>
            </w:r>
            <w:r>
              <w:rPr>
                <w:rFonts w:ascii="Times New Roman" w:hAnsi="Times New Roman"/>
                <w:sz w:val="24"/>
              </w:rPr>
              <w:t>których przypadkach tak nie jest.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1</w:t>
            </w:r>
            <w:r>
              <w:rPr>
                <w:rFonts w:ascii="Times New Roman" w:hAnsi="Times New Roman"/>
                <w:sz w:val="24"/>
              </w:rPr>
              <w:t xml:space="preserve">1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delegowanego Komisji (UE) 2020/1224 niepowtarzalny identyfikator nie może zostać zmieniony przez jednostkę sprawozdawczą, co oznacza, że nie można go zmienić do celów sprawozdawczości we wzorach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IDENTYFIKATOR SEKURYTYZACJI</w:t>
            </w:r>
          </w:p>
          <w:p w14:paraId="2A383686" w14:textId="77777777" w:rsidR="00933ADA" w:rsidRPr="002A677E" w:rsidRDefault="00933ADA" w:rsidP="00822842">
            <w:pPr>
              <w:spacing w:before="0" w:after="0"/>
              <w:jc w:val="left"/>
              <w:rPr>
                <w:rFonts w:ascii="Times New Roman" w:hAnsi="Times New Roman"/>
                <w:sz w:val="24"/>
              </w:rPr>
            </w:pPr>
          </w:p>
          <w:p w14:paraId="49907D02" w14:textId="4FCEDC7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Kod używany do celów prawnej rejestracji pozycji sekurytyzacyjnych lub transakcji sekurytyzacji</w:t>
            </w:r>
            <w:r w:rsidR="00FC4B69">
              <w:rPr>
                <w:rFonts w:ascii="Times New Roman" w:hAnsi="Times New Roman"/>
                <w:sz w:val="24"/>
              </w:rPr>
              <w:t xml:space="preserve"> w prz</w:t>
            </w:r>
            <w:r>
              <w:rPr>
                <w:rFonts w:ascii="Times New Roman" w:hAnsi="Times New Roman"/>
                <w:sz w:val="24"/>
              </w:rPr>
              <w:t>ypadku gdy</w:t>
            </w:r>
            <w:r w:rsidR="00FC4B69">
              <w:rPr>
                <w:rFonts w:ascii="Times New Roman" w:hAnsi="Times New Roman"/>
                <w:sz w:val="24"/>
              </w:rPr>
              <w:t xml:space="preserve"> w tym</w:t>
            </w:r>
            <w:r>
              <w:rPr>
                <w:rFonts w:ascii="Times New Roman" w:hAnsi="Times New Roman"/>
                <w:sz w:val="24"/>
              </w:rPr>
              <w:t xml:space="preserve"> samym wierszu można zgłosić kilka pozycji lub, jeśli taki kod nie jest dostępny, nazwa, pod którą dana pozycja sekurytyzacyjna lub transakcja sekurytyzacji jest znana na rynku lub</w:t>
            </w:r>
            <w:r w:rsidR="00FC4B69">
              <w:rPr>
                <w:rFonts w:ascii="Times New Roman" w:hAnsi="Times New Roman"/>
                <w:sz w:val="24"/>
              </w:rPr>
              <w:t xml:space="preserve"> w ram</w:t>
            </w:r>
            <w:r>
              <w:rPr>
                <w:rFonts w:ascii="Times New Roman" w:hAnsi="Times New Roman"/>
                <w:sz w:val="24"/>
              </w:rPr>
              <w:t>ach instytucji</w:t>
            </w:r>
            <w:r w:rsidR="00FC4B69">
              <w:rPr>
                <w:rFonts w:ascii="Times New Roman" w:hAnsi="Times New Roman"/>
                <w:sz w:val="24"/>
              </w:rPr>
              <w:t xml:space="preserve"> w prz</w:t>
            </w:r>
            <w:r>
              <w:rPr>
                <w:rFonts w:ascii="Times New Roman" w:hAnsi="Times New Roman"/>
                <w:sz w:val="24"/>
              </w:rPr>
              <w:t>ypadku sekurytyzacji wewnętrznej lub prywatnej</w:t>
            </w:r>
            <w:r w:rsidR="00FC4B69">
              <w:rPr>
                <w:rFonts w:ascii="Times New Roman" w:hAnsi="Times New Roman"/>
                <w:sz w:val="24"/>
              </w:rPr>
              <w:t>. W prz</w:t>
            </w:r>
            <w:r>
              <w:rPr>
                <w:rFonts w:ascii="Times New Roman" w:hAnsi="Times New Roman"/>
                <w:sz w:val="24"/>
              </w:rPr>
              <w:t>ypadku gdy dostępny jest Międzynarodowy Numer Identyfikacyjny Papierów Wartościowych (ISIN; np.</w:t>
            </w:r>
            <w:r w:rsidR="00FC4B69">
              <w:rPr>
                <w:rFonts w:ascii="Times New Roman" w:hAnsi="Times New Roman"/>
                <w:sz w:val="24"/>
              </w:rPr>
              <w:t xml:space="preserve"> w odn</w:t>
            </w:r>
            <w:r>
              <w:rPr>
                <w:rFonts w:ascii="Times New Roman" w:hAnsi="Times New Roman"/>
                <w:sz w:val="24"/>
              </w:rPr>
              <w:t>iesieniu do transakcji publicznych),</w:t>
            </w:r>
            <w:r w:rsidR="00FC4B69">
              <w:rPr>
                <w:rFonts w:ascii="Times New Roman" w:hAnsi="Times New Roman"/>
                <w:sz w:val="24"/>
              </w:rPr>
              <w:t xml:space="preserve"> w kol</w:t>
            </w:r>
            <w:r>
              <w:rPr>
                <w:rFonts w:ascii="Times New Roman" w:hAnsi="Times New Roman"/>
                <w:sz w:val="24"/>
              </w:rPr>
              <w:t>umnie tej zgłasza się znaki wspólne dla wszystkich transz sekurytyzacyjnych.</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POZYCJE SEKURYTYZACYJNE: PIERWOTNA EKSPOZYCJA PRZED UWZGLĘDNIENIEM WSPÓŁCZYNNIKÓW KONWERSJI</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W tym zestawieniu kolumn gromadzone są informacje na temat pozycji sekurytyzacyjnych podzielone według pozycji bilansowych/pozabilansowych </w:t>
            </w:r>
            <w:r>
              <w:rPr>
                <w:rFonts w:ascii="Times New Roman" w:hAnsi="Times New Roman"/>
                <w:sz w:val="24"/>
              </w:rPr>
              <w:lastRenderedPageBreak/>
              <w:t xml:space="preserve">oraz transz (uprzywilejowane/typu mezzanine/pierwszej straty) na dzień sprawozdawczy.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POZYCJE BILANSOWE </w:t>
            </w:r>
          </w:p>
          <w:p w14:paraId="6E56310C" w14:textId="77777777" w:rsidR="00933ADA" w:rsidRPr="002A677E" w:rsidRDefault="00933ADA" w:rsidP="00822842">
            <w:pPr>
              <w:spacing w:before="0" w:after="0"/>
              <w:jc w:val="left"/>
              <w:rPr>
                <w:rFonts w:ascii="Times New Roman" w:hAnsi="Times New Roman"/>
                <w:sz w:val="24"/>
              </w:rPr>
            </w:pPr>
          </w:p>
          <w:p w14:paraId="7BA48481" w14:textId="54F28F33" w:rsidR="00933ADA" w:rsidRPr="002A677E" w:rsidRDefault="00933ADA" w:rsidP="00822842">
            <w:pPr>
              <w:spacing w:before="0" w:after="0"/>
              <w:jc w:val="left"/>
              <w:rPr>
                <w:rFonts w:ascii="Times New Roman" w:hAnsi="Times New Roman"/>
                <w:sz w:val="24"/>
              </w:rPr>
            </w:pPr>
            <w:r>
              <w:rPr>
                <w:rFonts w:ascii="Times New Roman" w:hAnsi="Times New Roman"/>
                <w:sz w:val="24"/>
              </w:rPr>
              <w:t>Stosuje się te same kryteria klasyfikacji transz jak zastosowane</w:t>
            </w:r>
            <w:r w:rsidR="00FC4B69">
              <w:rPr>
                <w:rFonts w:ascii="Times New Roman" w:hAnsi="Times New Roman"/>
                <w:sz w:val="24"/>
              </w:rPr>
              <w:t xml:space="preserve"> w prz</w:t>
            </w:r>
            <w:r>
              <w:rPr>
                <w:rFonts w:ascii="Times New Roman" w:hAnsi="Times New Roman"/>
                <w:sz w:val="24"/>
              </w:rPr>
              <w:t>ypadku kolumn 0230, 0240</w:t>
            </w:r>
            <w:r w:rsidR="00FC4B69">
              <w:rPr>
                <w:rFonts w:ascii="Times New Roman" w:hAnsi="Times New Roman"/>
                <w:sz w:val="24"/>
              </w:rPr>
              <w:t xml:space="preserve"> i 0</w:t>
            </w:r>
            <w:r>
              <w:rPr>
                <w:rFonts w:ascii="Times New Roman" w:hAnsi="Times New Roman"/>
                <w:sz w:val="24"/>
              </w:rPr>
              <w:t>250 we wzorze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POZYCJE POZABILANSOWE I INSTRUMENTY POCHODNE</w:t>
            </w:r>
          </w:p>
          <w:p w14:paraId="2BF8D771" w14:textId="77777777" w:rsidR="00933ADA" w:rsidRPr="002A677E" w:rsidRDefault="00933ADA" w:rsidP="00822842">
            <w:pPr>
              <w:spacing w:before="0" w:after="0"/>
              <w:jc w:val="left"/>
              <w:rPr>
                <w:rFonts w:ascii="Times New Roman" w:hAnsi="Times New Roman"/>
                <w:sz w:val="24"/>
              </w:rPr>
            </w:pPr>
          </w:p>
          <w:p w14:paraId="046DC95F" w14:textId="229EE786" w:rsidR="00933ADA" w:rsidRPr="002A677E" w:rsidRDefault="00933ADA" w:rsidP="00822842">
            <w:pPr>
              <w:spacing w:before="0" w:after="0"/>
              <w:jc w:val="left"/>
              <w:rPr>
                <w:rFonts w:ascii="Times New Roman" w:hAnsi="Times New Roman"/>
                <w:sz w:val="24"/>
              </w:rPr>
            </w:pPr>
            <w:r>
              <w:rPr>
                <w:rFonts w:ascii="Times New Roman" w:hAnsi="Times New Roman"/>
                <w:sz w:val="24"/>
              </w:rPr>
              <w:t>Stosuje się te same kryteria klasyfikacji transz jak zastosowane</w:t>
            </w:r>
            <w:r w:rsidR="00FC4B69">
              <w:rPr>
                <w:rFonts w:ascii="Times New Roman" w:hAnsi="Times New Roman"/>
                <w:sz w:val="24"/>
              </w:rPr>
              <w:t xml:space="preserve"> w prz</w:t>
            </w:r>
            <w:r>
              <w:rPr>
                <w:rFonts w:ascii="Times New Roman" w:hAnsi="Times New Roman"/>
                <w:sz w:val="24"/>
              </w:rPr>
              <w:t>ypadku kolumn 0260–0287 we wzorze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37C6F73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w:t>
            </w:r>
            <w:r w:rsidR="00FC4B69">
              <w:rPr>
                <w:rFonts w:ascii="Times New Roman" w:hAnsi="Times New Roman"/>
                <w:sz w:val="24"/>
              </w:rPr>
              <w:t xml:space="preserve"> i 0</w:t>
            </w:r>
            <w:r>
              <w:rPr>
                <w:rFonts w:ascii="Times New Roman" w:hAnsi="Times New Roman"/>
                <w:sz w:val="24"/>
              </w:rPr>
              <w:t>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odpowiadająca dostawcy ochrony kredytowej / instrumentowi</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1704936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RW kwalifikowalnego gwaranta lub % RW odpowiadającego instrumentu, który zapewnia ochronę kredytową zgodnie</w:t>
            </w:r>
            <w:r w:rsidR="00FC4B69">
              <w:rPr>
                <w:rFonts w:ascii="Times New Roman" w:hAnsi="Times New Roman"/>
                <w:sz w:val="24"/>
              </w:rPr>
              <w:t xml:space="preserve"> z art</w:t>
            </w:r>
            <w:r>
              <w:rPr>
                <w:rFonts w:ascii="Times New Roman" w:hAnsi="Times New Roman"/>
                <w:sz w:val="24"/>
              </w:rPr>
              <w:t xml:space="preserve">. 249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SYNTETYCZNA MARŻA NADWYŻKOWA</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FF7559F"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 242 pkt 20, art. 248 ust. 1 </w:t>
            </w:r>
            <w:r w:rsidRPr="00FC4B69">
              <w:rPr>
                <w:rFonts w:ascii="Times New Roman" w:hAnsi="Times New Roman"/>
                <w:sz w:val="24"/>
              </w:rPr>
              <w:t>lit.</w:t>
            </w:r>
            <w:r w:rsidR="00FC4B69" w:rsidRPr="00FC4B69">
              <w:rPr>
                <w:rFonts w:ascii="Times New Roman" w:hAnsi="Times New Roman"/>
                <w:sz w:val="24"/>
              </w:rPr>
              <w:t> </w:t>
            </w:r>
            <w:r w:rsidRPr="00FC4B69">
              <w:rPr>
                <w:rFonts w:ascii="Times New Roman" w:hAnsi="Times New Roman"/>
                <w:sz w:val="24"/>
              </w:rPr>
              <w:t>e)</w:t>
            </w:r>
            <w:r>
              <w:rPr>
                <w:rFonts w:ascii="Times New Roman" w:hAnsi="Times New Roman"/>
                <w:sz w:val="24"/>
              </w:rPr>
              <w:t xml:space="preserve"> oraz </w:t>
            </w:r>
            <w:r w:rsidRPr="00FC4B69">
              <w:rPr>
                <w:rFonts w:ascii="Times New Roman" w:hAnsi="Times New Roman"/>
                <w:sz w:val="24"/>
              </w:rPr>
              <w:t>art.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56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6</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2E8D93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Kolumnę tę zgłasza się wyłącznie</w:t>
            </w:r>
            <w:r w:rsidR="00FC4B69">
              <w:rPr>
                <w:rFonts w:ascii="Times New Roman" w:hAnsi="Times New Roman"/>
                <w:sz w:val="24"/>
              </w:rPr>
              <w:t xml:space="preserve"> w prz</w:t>
            </w:r>
            <w:r>
              <w:rPr>
                <w:rFonts w:ascii="Times New Roman" w:hAnsi="Times New Roman"/>
                <w:sz w:val="24"/>
              </w:rPr>
              <w:t>ypadku, gdy kolumna 0110 jest zgłaszana jako „Jednostka inicjująca”.</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POZYCJE UZUPEŁNIAJĄCE: POZYCJE POZABILANSOWE I INSTRUMENTY POCHODNE PRZED UWZGLĘDNIENIEM WSPÓŁCZYNNIKÓW KONWERSJI</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0ECD60D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W tym zestawieniu kolumn gromadzone są dodatkowe informacje na temat sumy pozycji pozabilansowych</w:t>
            </w:r>
            <w:r w:rsidR="00FC4B69">
              <w:rPr>
                <w:rFonts w:ascii="Times New Roman" w:hAnsi="Times New Roman"/>
                <w:sz w:val="24"/>
              </w:rPr>
              <w:t xml:space="preserve"> i ins</w:t>
            </w:r>
            <w:r>
              <w:rPr>
                <w:rFonts w:ascii="Times New Roman" w:hAnsi="Times New Roman"/>
                <w:sz w:val="24"/>
              </w:rPr>
              <w:t>trumentów pochodnych (które są już zgłoszone</w:t>
            </w:r>
            <w:r w:rsidR="00FC4B69">
              <w:rPr>
                <w:rFonts w:ascii="Times New Roman" w:hAnsi="Times New Roman"/>
                <w:sz w:val="24"/>
              </w:rPr>
              <w:t xml:space="preserve"> w ram</w:t>
            </w:r>
            <w:r>
              <w:rPr>
                <w:rFonts w:ascii="Times New Roman" w:hAnsi="Times New Roman"/>
                <w:sz w:val="24"/>
              </w:rPr>
              <w:t>ach innego podziału</w:t>
            </w:r>
            <w:r w:rsidR="00FC4B69">
              <w:rPr>
                <w:rFonts w:ascii="Times New Roman" w:hAnsi="Times New Roman"/>
                <w:sz w:val="24"/>
              </w:rPr>
              <w:t xml:space="preserve"> w kol</w:t>
            </w:r>
            <w:r>
              <w:rPr>
                <w:rFonts w:ascii="Times New Roman" w:hAnsi="Times New Roman"/>
                <w:sz w:val="24"/>
              </w:rPr>
              <w:t>umnach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BEZPOŚREDNIE SUBSTYTUTY KREDYTU</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1FE74B84" w:rsidR="00933ADA" w:rsidRPr="002A677E" w:rsidRDefault="00933ADA" w:rsidP="00822842">
            <w:pPr>
              <w:spacing w:before="0" w:after="0"/>
              <w:rPr>
                <w:rFonts w:ascii="Times New Roman" w:hAnsi="Times New Roman"/>
                <w:sz w:val="24"/>
              </w:rPr>
            </w:pPr>
            <w:r>
              <w:rPr>
                <w:rFonts w:ascii="Times New Roman" w:hAnsi="Times New Roman"/>
                <w:sz w:val="24"/>
              </w:rPr>
              <w:t>Kolumna ta ma zastosowanie do pozycji sekurytyzacyjnych posiadanych przez jednostkę inicjującą</w:t>
            </w:r>
            <w:r w:rsidR="00FC4B69">
              <w:rPr>
                <w:rFonts w:ascii="Times New Roman" w:hAnsi="Times New Roman"/>
                <w:sz w:val="24"/>
              </w:rPr>
              <w:t xml:space="preserve"> i gwa</w:t>
            </w:r>
            <w:r>
              <w:rPr>
                <w:rFonts w:ascii="Times New Roman" w:hAnsi="Times New Roman"/>
                <w:sz w:val="24"/>
              </w:rPr>
              <w:t>rantowanych bezpośrednimi substytutami kredytu.</w:t>
            </w:r>
          </w:p>
          <w:p w14:paraId="5ADBD43D" w14:textId="77777777" w:rsidR="00933ADA" w:rsidRPr="002A677E" w:rsidRDefault="00933ADA" w:rsidP="00822842">
            <w:pPr>
              <w:spacing w:before="0" w:after="0"/>
              <w:rPr>
                <w:rFonts w:ascii="Times New Roman" w:hAnsi="Times New Roman"/>
                <w:sz w:val="24"/>
              </w:rPr>
            </w:pPr>
          </w:p>
          <w:p w14:paraId="3E6A0632" w14:textId="33994E36" w:rsidR="00933ADA" w:rsidRPr="002A677E" w:rsidRDefault="00933ADA" w:rsidP="00822842">
            <w:pPr>
              <w:spacing w:before="0" w:after="0"/>
              <w:rPr>
                <w:rFonts w:ascii="Times New Roman" w:hAnsi="Times New Roman"/>
                <w:sz w:val="24"/>
              </w:rPr>
            </w:pPr>
            <w:r>
              <w:rPr>
                <w:rFonts w:ascii="Times New Roman" w:hAnsi="Times New Roman"/>
                <w:sz w:val="24"/>
              </w:rPr>
              <w:t>Zgodnie</w:t>
            </w:r>
            <w:r w:rsidR="00FC4B69">
              <w:rPr>
                <w:rFonts w:ascii="Times New Roman" w:hAnsi="Times New Roman"/>
                <w:sz w:val="24"/>
              </w:rPr>
              <w:t xml:space="preserve"> z zał</w:t>
            </w:r>
            <w:r>
              <w:rPr>
                <w:rFonts w:ascii="Times New Roman" w:hAnsi="Times New Roman"/>
                <w:sz w:val="24"/>
              </w:rPr>
              <w:t xml:space="preserve">ącznikiem I do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następujące pozycje pozabilansowe pełnego ryzyka traktuje się jak bezpośrednie substytuty kredytu:</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gwarancje mające charakter substytutu kredytu;</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nieodwołalne akredytywy „standby” mające charakter substytutu kredytu.</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4AC72C39"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Skrót IRS oznacza swapy stopy procentowej, natomiast skrót CRS oznacza swapy walutowe. Te instrumenty pochodne wymieniono</w:t>
            </w:r>
            <w:r w:rsidR="00FC4B69">
              <w:rPr>
                <w:rFonts w:ascii="Times New Roman" w:hAnsi="Times New Roman"/>
                <w:sz w:val="24"/>
              </w:rPr>
              <w:t xml:space="preserve"> w zał</w:t>
            </w:r>
            <w:r>
              <w:rPr>
                <w:rFonts w:ascii="Times New Roman" w:hAnsi="Times New Roman"/>
                <w:sz w:val="24"/>
              </w:rPr>
              <w:t xml:space="preserve">ączniku II do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INSTRUMENTY WSPARCIA PŁYNNOŚCI</w:t>
            </w:r>
          </w:p>
          <w:p w14:paraId="78DA5FAD" w14:textId="77777777" w:rsidR="00933ADA" w:rsidRPr="002A677E" w:rsidRDefault="00933ADA" w:rsidP="00822842">
            <w:pPr>
              <w:spacing w:before="0" w:after="0"/>
              <w:jc w:val="left"/>
              <w:rPr>
                <w:rFonts w:ascii="Times New Roman" w:hAnsi="Times New Roman"/>
                <w:sz w:val="24"/>
              </w:rPr>
            </w:pPr>
          </w:p>
          <w:p w14:paraId="6C95634F" w14:textId="1F78C05E" w:rsidR="00933ADA" w:rsidRPr="002A677E" w:rsidRDefault="00933ADA" w:rsidP="00822842">
            <w:pPr>
              <w:spacing w:before="0" w:after="0"/>
              <w:rPr>
                <w:rFonts w:ascii="Times New Roman" w:hAnsi="Times New Roman"/>
                <w:sz w:val="24"/>
              </w:rPr>
            </w:pPr>
            <w:r>
              <w:rPr>
                <w:rFonts w:ascii="Times New Roman" w:hAnsi="Times New Roman"/>
                <w:sz w:val="24"/>
              </w:rPr>
              <w:t>Instrumenty wsparcia płynności zdefiniowane</w:t>
            </w:r>
            <w:r w:rsidR="00FC4B69">
              <w:rPr>
                <w:rFonts w:ascii="Times New Roman" w:hAnsi="Times New Roman"/>
                <w:sz w:val="24"/>
              </w:rPr>
              <w:t xml:space="preserve"> w art</w:t>
            </w:r>
            <w:r>
              <w:rPr>
                <w:rFonts w:ascii="Times New Roman" w:hAnsi="Times New Roman"/>
                <w:sz w:val="24"/>
              </w:rPr>
              <w:t xml:space="preserve">. 242 pkt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INNE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Pozostające pozycje pozabilansowe.</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WARTOŚĆ EKSPOZYCJI</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28543535" w:rsidR="00933ADA" w:rsidRPr="002A677E" w:rsidRDefault="00933ADA" w:rsidP="00822842">
            <w:pPr>
              <w:spacing w:before="0" w:after="0"/>
              <w:rPr>
                <w:rFonts w:ascii="Times New Roman" w:hAnsi="Times New Roman"/>
                <w:sz w:val="24"/>
              </w:rPr>
            </w:pPr>
            <w:r>
              <w:rPr>
                <w:rFonts w:ascii="Times New Roman" w:hAnsi="Times New Roman"/>
                <w:sz w:val="24"/>
              </w:rPr>
              <w:t>Informacje te są ściśle związane</w:t>
            </w:r>
            <w:r w:rsidR="00FC4B69">
              <w:rPr>
                <w:rFonts w:ascii="Times New Roman" w:hAnsi="Times New Roman"/>
                <w:sz w:val="24"/>
              </w:rPr>
              <w:t xml:space="preserve"> z kol</w:t>
            </w:r>
            <w:r>
              <w:rPr>
                <w:rFonts w:ascii="Times New Roman" w:hAnsi="Times New Roman"/>
                <w:sz w:val="24"/>
              </w:rPr>
              <w:t>umną 0180 we wzorze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WARTOŚĆ EKSPOZYCJI POMNIEJSZAJĄCA FUNDUSZE WŁASNE</w:t>
            </w:r>
          </w:p>
          <w:p w14:paraId="6F9A9B8A" w14:textId="77777777" w:rsidR="00933ADA" w:rsidRPr="002A677E" w:rsidRDefault="00933ADA" w:rsidP="00822842">
            <w:pPr>
              <w:spacing w:before="0" w:after="0"/>
              <w:jc w:val="left"/>
              <w:rPr>
                <w:rFonts w:ascii="Times New Roman" w:hAnsi="Times New Roman"/>
                <w:sz w:val="24"/>
              </w:rPr>
            </w:pPr>
          </w:p>
          <w:p w14:paraId="194DFD30" w14:textId="51CF98F4" w:rsidR="00933ADA" w:rsidRPr="002A677E" w:rsidRDefault="00933ADA" w:rsidP="00822842">
            <w:pPr>
              <w:spacing w:before="0" w:after="0"/>
              <w:rPr>
                <w:rFonts w:ascii="Times New Roman" w:hAnsi="Times New Roman"/>
                <w:sz w:val="24"/>
              </w:rPr>
            </w:pPr>
            <w:r>
              <w:rPr>
                <w:rFonts w:ascii="Times New Roman" w:hAnsi="Times New Roman"/>
                <w:sz w:val="24"/>
              </w:rPr>
              <w:t>Informacje te są ściśle związane</w:t>
            </w:r>
            <w:r w:rsidR="00FC4B69">
              <w:rPr>
                <w:rFonts w:ascii="Times New Roman" w:hAnsi="Times New Roman"/>
                <w:sz w:val="24"/>
              </w:rPr>
              <w:t xml:space="preserve"> z kol</w:t>
            </w:r>
            <w:r>
              <w:rPr>
                <w:rFonts w:ascii="Times New Roman" w:hAnsi="Times New Roman"/>
                <w:sz w:val="24"/>
              </w:rPr>
              <w:t>umną 0190 we wzorze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W kolumnie tej zgłasza się wartość ujemną.</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PRZED UWZGLĘDNIENIEM PUŁAPU</w:t>
            </w:r>
          </w:p>
          <w:p w14:paraId="56A042F5" w14:textId="77777777" w:rsidR="00933ADA" w:rsidRPr="002A677E" w:rsidRDefault="00933ADA" w:rsidP="00822842">
            <w:pPr>
              <w:spacing w:before="0" w:after="0"/>
              <w:jc w:val="left"/>
              <w:rPr>
                <w:rFonts w:ascii="Times New Roman" w:hAnsi="Times New Roman"/>
                <w:sz w:val="24"/>
              </w:rPr>
            </w:pPr>
          </w:p>
          <w:p w14:paraId="5D359209" w14:textId="553FD1D3" w:rsidR="00933ADA" w:rsidRPr="002A677E" w:rsidRDefault="00933ADA" w:rsidP="00822842">
            <w:pPr>
              <w:spacing w:before="0" w:after="0"/>
              <w:rPr>
                <w:rFonts w:ascii="Times New Roman" w:hAnsi="Times New Roman"/>
                <w:sz w:val="24"/>
              </w:rPr>
            </w:pPr>
            <w:r>
              <w:rPr>
                <w:rFonts w:ascii="Times New Roman" w:hAnsi="Times New Roman"/>
                <w:sz w:val="24"/>
              </w:rPr>
              <w:t>W kolumnie tej gromadzone są informacje na temat kwoty ekspozycji ważonej ryzykiem przed uwzględnieniem pułapu mającego zastosowanie do pozycji sekurytyzacyjnych, obliczonej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4EF36743" w:rsidR="00933ADA" w:rsidRDefault="00933ADA" w:rsidP="00822842">
            <w:pPr>
              <w:spacing w:before="0" w:after="0"/>
              <w:jc w:val="left"/>
              <w:rPr>
                <w:rFonts w:ascii="Times New Roman" w:hAnsi="Times New Roman"/>
                <w:sz w:val="24"/>
              </w:rPr>
            </w:pPr>
            <w:r>
              <w:rPr>
                <w:rFonts w:ascii="Times New Roman" w:hAnsi="Times New Roman"/>
                <w:sz w:val="24"/>
              </w:rPr>
              <w:t>W przypadku sekurytyzacji</w:t>
            </w:r>
            <w:r w:rsidR="00FC4B69">
              <w:rPr>
                <w:rFonts w:ascii="Times New Roman" w:hAnsi="Times New Roman"/>
                <w:sz w:val="24"/>
              </w:rPr>
              <w:t xml:space="preserve"> w por</w:t>
            </w:r>
            <w:r>
              <w:rPr>
                <w:rFonts w:ascii="Times New Roman" w:hAnsi="Times New Roman"/>
                <w:sz w:val="24"/>
              </w:rPr>
              <w:t>tfelu handlowym, zgłasza się:</w:t>
            </w:r>
          </w:p>
          <w:p w14:paraId="4957C55C" w14:textId="53AD330B"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kwotę ekspozycji ważonej ryzykiem dotyczącą ryzyka szczególnego, ustaloną jako 12,5-krotność wymogu</w:t>
            </w:r>
            <w:r w:rsidR="00FC4B69">
              <w:rPr>
                <w:rFonts w:ascii="Times New Roman" w:hAnsi="Times New Roman"/>
                <w:sz w:val="24"/>
              </w:rPr>
              <w:t xml:space="preserve"> w zak</w:t>
            </w:r>
            <w:r>
              <w:rPr>
                <w:rFonts w:ascii="Times New Roman" w:hAnsi="Times New Roman"/>
                <w:sz w:val="24"/>
              </w:rPr>
              <w:t>resie funduszy własnych zgłoszonego, odpowiednio,</w:t>
            </w:r>
            <w:r w:rsidR="00FC4B69">
              <w:rPr>
                <w:rFonts w:ascii="Times New Roman" w:hAnsi="Times New Roman"/>
                <w:sz w:val="24"/>
              </w:rPr>
              <w:t xml:space="preserve"> w kol</w:t>
            </w:r>
            <w:r>
              <w:rPr>
                <w:rFonts w:ascii="Times New Roman" w:hAnsi="Times New Roman"/>
                <w:sz w:val="24"/>
              </w:rPr>
              <w:t>umnie 0570 MKR SA SEC lub</w:t>
            </w:r>
            <w:r w:rsidR="00FC4B69">
              <w:rPr>
                <w:rFonts w:ascii="Times New Roman" w:hAnsi="Times New Roman"/>
                <w:sz w:val="24"/>
              </w:rPr>
              <w:t xml:space="preserve"> w kol</w:t>
            </w:r>
            <w:r>
              <w:rPr>
                <w:rFonts w:ascii="Times New Roman" w:hAnsi="Times New Roman"/>
                <w:sz w:val="24"/>
              </w:rPr>
              <w:t>umnach 0410</w:t>
            </w:r>
            <w:r w:rsidR="00FC4B69">
              <w:rPr>
                <w:rFonts w:ascii="Times New Roman" w:hAnsi="Times New Roman"/>
                <w:sz w:val="24"/>
              </w:rPr>
              <w:t xml:space="preserve"> i 0</w:t>
            </w:r>
            <w:r>
              <w:rPr>
                <w:rFonts w:ascii="Times New Roman" w:hAnsi="Times New Roman"/>
                <w:sz w:val="24"/>
              </w:rPr>
              <w:t>420 (mających znaczenie</w:t>
            </w:r>
            <w:r w:rsidR="00FC4B69">
              <w:rPr>
                <w:rFonts w:ascii="Times New Roman" w:hAnsi="Times New Roman"/>
                <w:sz w:val="24"/>
              </w:rPr>
              <w:t xml:space="preserve"> w odn</w:t>
            </w:r>
            <w:r>
              <w:rPr>
                <w:rFonts w:ascii="Times New Roman" w:hAnsi="Times New Roman"/>
                <w:sz w:val="24"/>
              </w:rPr>
              <w:t>iesieniu do wymogu</w:t>
            </w:r>
            <w:r w:rsidR="00FC4B69">
              <w:rPr>
                <w:rFonts w:ascii="Times New Roman" w:hAnsi="Times New Roman"/>
                <w:sz w:val="24"/>
              </w:rPr>
              <w:t xml:space="preserve"> w zak</w:t>
            </w:r>
            <w:r>
              <w:rPr>
                <w:rFonts w:ascii="Times New Roman" w:hAnsi="Times New Roman"/>
                <w:sz w:val="24"/>
              </w:rPr>
              <w:t>resie funduszy własnych) MKR SA CTP,</w:t>
            </w:r>
            <w:r w:rsidR="00FC4B69">
              <w:rPr>
                <w:rFonts w:ascii="Times New Roman" w:hAnsi="Times New Roman"/>
                <w:sz w:val="24"/>
              </w:rPr>
              <w:t xml:space="preserve"> w prz</w:t>
            </w:r>
            <w:r>
              <w:rPr>
                <w:rFonts w:ascii="Times New Roman" w:hAnsi="Times New Roman"/>
                <w:sz w:val="24"/>
              </w:rPr>
              <w:t>ypadku gdy instytucja stosuje uproszczoną metodę standardową</w:t>
            </w:r>
            <w:r w:rsidR="00FC4B69">
              <w:rPr>
                <w:rFonts w:ascii="Times New Roman" w:hAnsi="Times New Roman"/>
                <w:sz w:val="24"/>
              </w:rPr>
              <w:t xml:space="preserve"> w odn</w:t>
            </w:r>
            <w:r>
              <w:rPr>
                <w:rFonts w:ascii="Times New Roman" w:hAnsi="Times New Roman"/>
                <w:sz w:val="24"/>
              </w:rPr>
              <w:t>iesieniu do ryzyka rynkowego,</w:t>
            </w:r>
          </w:p>
          <w:p w14:paraId="473B3456" w14:textId="2A7BC612"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sumę wartości bezwzględnej wszystkich ważonych wskaźników wrażliwości sekurytyzacji na czynniki ryzyka, określoną do celów obliczania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spreadu kredytowego</w:t>
            </w:r>
            <w:r w:rsidR="00FC4B69">
              <w:rPr>
                <w:rFonts w:ascii="Times New Roman" w:hAnsi="Times New Roman"/>
                <w:sz w:val="24"/>
              </w:rPr>
              <w:t xml:space="preserve"> w odn</w:t>
            </w:r>
            <w:r>
              <w:rPr>
                <w:rFonts w:ascii="Times New Roman" w:hAnsi="Times New Roman"/>
                <w:sz w:val="24"/>
              </w:rPr>
              <w:t>iesieniu do pozycji sekurytyzacyjnych niewłączonych do ACTP lub ryzyka spreadu kredytowego</w:t>
            </w:r>
            <w:r w:rsidR="00FC4B69">
              <w:rPr>
                <w:rFonts w:ascii="Times New Roman" w:hAnsi="Times New Roman"/>
                <w:sz w:val="24"/>
              </w:rPr>
              <w:t xml:space="preserve"> w odn</w:t>
            </w:r>
            <w:r>
              <w:rPr>
                <w:rFonts w:ascii="Times New Roman" w:hAnsi="Times New Roman"/>
                <w:sz w:val="24"/>
              </w:rPr>
              <w:t>iesieniu do pozycji sekurytyzacyjnych włączonych do ACTP,</w:t>
            </w:r>
            <w:r w:rsidR="00FC4B69">
              <w:rPr>
                <w:rFonts w:ascii="Times New Roman" w:hAnsi="Times New Roman"/>
                <w:sz w:val="24"/>
              </w:rPr>
              <w:t xml:space="preserve"> w prz</w:t>
            </w:r>
            <w:r>
              <w:rPr>
                <w:rFonts w:ascii="Times New Roman" w:hAnsi="Times New Roman"/>
                <w:sz w:val="24"/>
              </w:rPr>
              <w:t>ypadku gdy instytucja stosuje metodę ASA lub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36F787E8" w:rsidR="00933ADA" w:rsidRPr="002A677E" w:rsidRDefault="00933ADA" w:rsidP="00822842">
            <w:pPr>
              <w:spacing w:before="0" w:after="0"/>
              <w:jc w:val="left"/>
              <w:rPr>
                <w:rFonts w:ascii="Times New Roman" w:hAnsi="Times New Roman"/>
                <w:sz w:val="24"/>
              </w:rPr>
            </w:pPr>
            <w:r>
              <w:rPr>
                <w:rFonts w:ascii="Times New Roman" w:hAnsi="Times New Roman"/>
                <w:sz w:val="24"/>
              </w:rPr>
              <w:t>Art. 267</w:t>
            </w:r>
            <w:r w:rsidR="00FC4B69">
              <w:rPr>
                <w:rFonts w:ascii="Times New Roman" w:hAnsi="Times New Roman"/>
                <w:sz w:val="24"/>
              </w:rPr>
              <w:t xml:space="preserve"> i 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49D8C4A8" w:rsidR="00933ADA" w:rsidRPr="002A677E" w:rsidRDefault="00933ADA" w:rsidP="00822842">
            <w:pPr>
              <w:spacing w:before="0" w:after="0"/>
              <w:jc w:val="left"/>
              <w:rPr>
                <w:rFonts w:ascii="Times New Roman" w:hAnsi="Times New Roman"/>
                <w:sz w:val="24"/>
              </w:rPr>
            </w:pPr>
            <w:r>
              <w:rPr>
                <w:rFonts w:ascii="Times New Roman" w:hAnsi="Times New Roman"/>
                <w:sz w:val="24"/>
              </w:rPr>
              <w:t>Art. 268</w:t>
            </w:r>
            <w:r w:rsidR="00FC4B69">
              <w:rPr>
                <w:rFonts w:ascii="Times New Roman" w:hAnsi="Times New Roman"/>
                <w:sz w:val="24"/>
              </w:rPr>
              <w:t xml:space="preserve"> i 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CAŁKOWITA KWOTA EKSPOZYCJI WAŻONEJ RYZYKIEM PO UWZGLĘDNIENIU PUŁAPU</w:t>
            </w:r>
          </w:p>
          <w:p w14:paraId="6474E229" w14:textId="77777777" w:rsidR="00933ADA" w:rsidRPr="002A677E" w:rsidRDefault="00933ADA" w:rsidP="00822842">
            <w:pPr>
              <w:spacing w:before="0" w:after="0"/>
              <w:jc w:val="left"/>
              <w:rPr>
                <w:rFonts w:ascii="Times New Roman" w:hAnsi="Times New Roman"/>
                <w:sz w:val="24"/>
              </w:rPr>
            </w:pPr>
          </w:p>
          <w:p w14:paraId="731521DF" w14:textId="4B177AA8" w:rsidR="00933ADA" w:rsidRPr="002A677E" w:rsidRDefault="00933ADA" w:rsidP="00822842">
            <w:pPr>
              <w:spacing w:before="0" w:after="0"/>
              <w:rPr>
                <w:rFonts w:ascii="Times New Roman" w:hAnsi="Times New Roman"/>
                <w:sz w:val="24"/>
              </w:rPr>
            </w:pPr>
            <w:r>
              <w:rPr>
                <w:rFonts w:ascii="Times New Roman" w:hAnsi="Times New Roman"/>
                <w:sz w:val="24"/>
              </w:rPr>
              <w:t>W kolumnie tej gromadzone są informacje na temat kwoty ekspozycji ważonej ryzykiem po uwzględnieniu pułapu mającego zastosowanie do pozycji sekurytyzacyjnych, obliczonej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0CC16632" w14:textId="77777777" w:rsidR="00933ADA" w:rsidRPr="002A677E" w:rsidRDefault="00933ADA" w:rsidP="00822842">
            <w:pPr>
              <w:spacing w:before="0" w:after="0"/>
              <w:rPr>
                <w:rFonts w:ascii="Times New Roman" w:hAnsi="Times New Roman"/>
                <w:sz w:val="24"/>
              </w:rPr>
            </w:pPr>
          </w:p>
          <w:p w14:paraId="727A3B24" w14:textId="1C59BC51" w:rsidR="00933ADA" w:rsidRDefault="00933ADA" w:rsidP="00822842">
            <w:pPr>
              <w:spacing w:before="0" w:after="0"/>
              <w:jc w:val="left"/>
              <w:rPr>
                <w:rFonts w:ascii="Times New Roman" w:hAnsi="Times New Roman"/>
                <w:sz w:val="24"/>
              </w:rPr>
            </w:pPr>
            <w:r>
              <w:rPr>
                <w:rFonts w:ascii="Times New Roman" w:hAnsi="Times New Roman"/>
                <w:sz w:val="24"/>
              </w:rPr>
              <w:t>W przypadku sekurytyzacji</w:t>
            </w:r>
            <w:r w:rsidR="00FC4B69">
              <w:rPr>
                <w:rFonts w:ascii="Times New Roman" w:hAnsi="Times New Roman"/>
                <w:sz w:val="24"/>
              </w:rPr>
              <w:t xml:space="preserve"> w por</w:t>
            </w:r>
            <w:r>
              <w:rPr>
                <w:rFonts w:ascii="Times New Roman" w:hAnsi="Times New Roman"/>
                <w:sz w:val="24"/>
              </w:rPr>
              <w:t>tfelu handlowym, zgłasza się:</w:t>
            </w:r>
          </w:p>
          <w:p w14:paraId="563BD002" w14:textId="4EE4731E"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kwotę ekspozycji ważonej ryzykiem dotyczącą ryzyka szczególnego, ustaloną jako 12,5-krotność wymogu</w:t>
            </w:r>
            <w:r w:rsidR="00FC4B69">
              <w:rPr>
                <w:rFonts w:ascii="Times New Roman" w:hAnsi="Times New Roman"/>
                <w:sz w:val="24"/>
              </w:rPr>
              <w:t xml:space="preserve"> w zak</w:t>
            </w:r>
            <w:r>
              <w:rPr>
                <w:rFonts w:ascii="Times New Roman" w:hAnsi="Times New Roman"/>
                <w:sz w:val="24"/>
              </w:rPr>
              <w:t>resie funduszy własnych zgłoszonego, odpowiednio,</w:t>
            </w:r>
            <w:r w:rsidR="00FC4B69">
              <w:rPr>
                <w:rFonts w:ascii="Times New Roman" w:hAnsi="Times New Roman"/>
                <w:sz w:val="24"/>
              </w:rPr>
              <w:t xml:space="preserve"> w kol</w:t>
            </w:r>
            <w:r>
              <w:rPr>
                <w:rFonts w:ascii="Times New Roman" w:hAnsi="Times New Roman"/>
                <w:sz w:val="24"/>
              </w:rPr>
              <w:t>umnie 0570 MKR SA SEC lub</w:t>
            </w:r>
            <w:r w:rsidR="00FC4B69">
              <w:rPr>
                <w:rFonts w:ascii="Times New Roman" w:hAnsi="Times New Roman"/>
                <w:sz w:val="24"/>
              </w:rPr>
              <w:t xml:space="preserve"> w kol</w:t>
            </w:r>
            <w:r>
              <w:rPr>
                <w:rFonts w:ascii="Times New Roman" w:hAnsi="Times New Roman"/>
                <w:sz w:val="24"/>
              </w:rPr>
              <w:t>umnach 0410</w:t>
            </w:r>
            <w:r w:rsidR="00FC4B69">
              <w:rPr>
                <w:rFonts w:ascii="Times New Roman" w:hAnsi="Times New Roman"/>
                <w:sz w:val="24"/>
              </w:rPr>
              <w:t xml:space="preserve"> i 0</w:t>
            </w:r>
            <w:r>
              <w:rPr>
                <w:rFonts w:ascii="Times New Roman" w:hAnsi="Times New Roman"/>
                <w:sz w:val="24"/>
              </w:rPr>
              <w:t>420 (mających znaczenie</w:t>
            </w:r>
            <w:r w:rsidR="00FC4B69">
              <w:rPr>
                <w:rFonts w:ascii="Times New Roman" w:hAnsi="Times New Roman"/>
                <w:sz w:val="24"/>
              </w:rPr>
              <w:t xml:space="preserve"> w odn</w:t>
            </w:r>
            <w:r>
              <w:rPr>
                <w:rFonts w:ascii="Times New Roman" w:hAnsi="Times New Roman"/>
                <w:sz w:val="24"/>
              </w:rPr>
              <w:t>iesieniu do wymogu</w:t>
            </w:r>
            <w:r w:rsidR="00FC4B69">
              <w:rPr>
                <w:rFonts w:ascii="Times New Roman" w:hAnsi="Times New Roman"/>
                <w:sz w:val="24"/>
              </w:rPr>
              <w:t xml:space="preserve"> w zak</w:t>
            </w:r>
            <w:r>
              <w:rPr>
                <w:rFonts w:ascii="Times New Roman" w:hAnsi="Times New Roman"/>
                <w:sz w:val="24"/>
              </w:rPr>
              <w:t>resie funduszy własnych) MKR SA CTP,</w:t>
            </w:r>
            <w:r w:rsidR="00FC4B69">
              <w:rPr>
                <w:rFonts w:ascii="Times New Roman" w:hAnsi="Times New Roman"/>
                <w:sz w:val="24"/>
              </w:rPr>
              <w:t xml:space="preserve"> w prz</w:t>
            </w:r>
            <w:r>
              <w:rPr>
                <w:rFonts w:ascii="Times New Roman" w:hAnsi="Times New Roman"/>
                <w:sz w:val="24"/>
              </w:rPr>
              <w:t>ypadku gdy instytucja stosuje uproszczoną metodę standardową</w:t>
            </w:r>
            <w:r w:rsidR="00FC4B69">
              <w:rPr>
                <w:rFonts w:ascii="Times New Roman" w:hAnsi="Times New Roman"/>
                <w:sz w:val="24"/>
              </w:rPr>
              <w:t xml:space="preserve"> w odn</w:t>
            </w:r>
            <w:r>
              <w:rPr>
                <w:rFonts w:ascii="Times New Roman" w:hAnsi="Times New Roman"/>
                <w:sz w:val="24"/>
              </w:rPr>
              <w:t>iesieniu do ryzyka rynkowego,</w:t>
            </w:r>
          </w:p>
          <w:p w14:paraId="4FA7C759" w14:textId="3891501C"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sumę wartości bezwzględnej wszystkich ważonych wskaźników wrażliwości sekurytyzacji na czynniki ryzyka, określoną do celów obliczania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spreadu kredytowego</w:t>
            </w:r>
            <w:r w:rsidR="00FC4B69">
              <w:rPr>
                <w:rFonts w:ascii="Times New Roman" w:hAnsi="Times New Roman"/>
                <w:sz w:val="24"/>
              </w:rPr>
              <w:t xml:space="preserve"> w odn</w:t>
            </w:r>
            <w:r>
              <w:rPr>
                <w:rFonts w:ascii="Times New Roman" w:hAnsi="Times New Roman"/>
                <w:sz w:val="24"/>
              </w:rPr>
              <w:t>iesieniu do pozycji sekurytyzacyjnych niewłączonych do ACTP lub ryzyka spreadu kredytowego</w:t>
            </w:r>
            <w:r w:rsidR="00FC4B69">
              <w:rPr>
                <w:rFonts w:ascii="Times New Roman" w:hAnsi="Times New Roman"/>
                <w:sz w:val="24"/>
              </w:rPr>
              <w:t xml:space="preserve"> w odn</w:t>
            </w:r>
            <w:r>
              <w:rPr>
                <w:rFonts w:ascii="Times New Roman" w:hAnsi="Times New Roman"/>
                <w:sz w:val="24"/>
              </w:rPr>
              <w:t>iesieniu do pozycji sekurytyzacyjnych włączonych do ACTP,</w:t>
            </w:r>
            <w:r w:rsidR="00FC4B69">
              <w:rPr>
                <w:rFonts w:ascii="Times New Roman" w:hAnsi="Times New Roman"/>
                <w:sz w:val="24"/>
              </w:rPr>
              <w:t xml:space="preserve"> w prz</w:t>
            </w:r>
            <w:r>
              <w:rPr>
                <w:rFonts w:ascii="Times New Roman" w:hAnsi="Times New Roman"/>
                <w:sz w:val="24"/>
              </w:rPr>
              <w:t>ypadku gdy instytucja stosuje metodę ASA lub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Z ZASTOSOWANIEM MINIMALNEGO PROGU KAPITAŁOWEGO</w:t>
            </w:r>
          </w:p>
          <w:p w14:paraId="52531F35" w14:textId="77777777" w:rsidR="00933ADA" w:rsidRDefault="00933ADA" w:rsidP="00822842">
            <w:pPr>
              <w:spacing w:before="0" w:after="0"/>
              <w:jc w:val="left"/>
              <w:rPr>
                <w:rFonts w:ascii="Times New Roman" w:hAnsi="Times New Roman"/>
                <w:sz w:val="24"/>
              </w:rPr>
            </w:pPr>
          </w:p>
          <w:p w14:paraId="59E10C98" w14:textId="6507EBBD"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W przypadku instytucji objętych wymogiem minimalnego progu kapitałowego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9</w:t>
            </w:r>
            <w:r>
              <w:rPr>
                <w:rFonts w:ascii="Times New Roman" w:hAnsi="Times New Roman"/>
                <w:sz w:val="24"/>
              </w:rPr>
              <w:t xml:space="preserve">2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3</w:t>
            </w:r>
            <w:r>
              <w:rPr>
                <w:rFonts w:ascii="Times New Roman" w:hAnsi="Times New Roman"/>
                <w:sz w:val="24"/>
              </w:rPr>
              <w:t xml:space="preserve">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 łączna kwota ekspozycji na ryzyko według metody standardowej (S-TREA) obliczona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9</w:t>
            </w:r>
            <w:r>
              <w:rPr>
                <w:rFonts w:ascii="Times New Roman" w:hAnsi="Times New Roman"/>
                <w:sz w:val="24"/>
              </w:rPr>
              <w:t xml:space="preserve">2 </w:t>
            </w:r>
            <w:r w:rsidRPr="00FC4B69">
              <w:rPr>
                <w:rFonts w:ascii="Times New Roman" w:hAnsi="Times New Roman"/>
                <w:sz w:val="24"/>
              </w:rPr>
              <w:t>ust.</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PRZED UWZGLĘDNIENIEM PUŁAPU</w:t>
            </w:r>
          </w:p>
          <w:p w14:paraId="182BA4EA" w14:textId="77777777" w:rsidR="00933ADA" w:rsidRPr="002A677E" w:rsidRDefault="00933ADA" w:rsidP="00822842">
            <w:pPr>
              <w:spacing w:before="0" w:after="0"/>
              <w:jc w:val="left"/>
              <w:rPr>
                <w:rFonts w:ascii="Times New Roman" w:hAnsi="Times New Roman"/>
                <w:sz w:val="24"/>
              </w:rPr>
            </w:pPr>
          </w:p>
          <w:p w14:paraId="5D626718" w14:textId="41F145F4" w:rsidR="00933ADA" w:rsidRPr="002A677E" w:rsidRDefault="00933ADA" w:rsidP="00822842">
            <w:pPr>
              <w:spacing w:before="0" w:after="0"/>
              <w:rPr>
                <w:rFonts w:ascii="Times New Roman" w:hAnsi="Times New Roman"/>
                <w:sz w:val="24"/>
              </w:rPr>
            </w:pPr>
            <w:r>
              <w:rPr>
                <w:rFonts w:ascii="Times New Roman" w:hAnsi="Times New Roman"/>
                <w:sz w:val="24"/>
              </w:rPr>
              <w:t>S-TREA przed uwzględnieniem pułapu mającego zastosowanie do pozycji sekurytyzacyjnych, obliczona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33BF3CDF" w:rsidR="00933ADA" w:rsidRDefault="00933ADA" w:rsidP="00822842">
            <w:pPr>
              <w:spacing w:before="0" w:after="0"/>
              <w:jc w:val="left"/>
              <w:rPr>
                <w:rFonts w:ascii="Times New Roman" w:hAnsi="Times New Roman"/>
                <w:sz w:val="24"/>
              </w:rPr>
            </w:pPr>
            <w:r>
              <w:rPr>
                <w:rFonts w:ascii="Times New Roman" w:hAnsi="Times New Roman"/>
                <w:sz w:val="24"/>
              </w:rPr>
              <w:t>W przypadku sekurytyzacji</w:t>
            </w:r>
            <w:r w:rsidR="00FC4B69">
              <w:rPr>
                <w:rFonts w:ascii="Times New Roman" w:hAnsi="Times New Roman"/>
                <w:sz w:val="24"/>
              </w:rPr>
              <w:t xml:space="preserve"> w por</w:t>
            </w:r>
            <w:r>
              <w:rPr>
                <w:rFonts w:ascii="Times New Roman" w:hAnsi="Times New Roman"/>
                <w:sz w:val="24"/>
              </w:rPr>
              <w:t>tfelu handlowym, zgłasza się:</w:t>
            </w:r>
          </w:p>
          <w:p w14:paraId="3F8EED90" w14:textId="657634D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kwotę ekspozycji ważonej ryzykiem dotyczącą ryzyka szczególnego, ustaloną jako 12,5-krotność wymogu</w:t>
            </w:r>
            <w:r w:rsidR="00FC4B69">
              <w:rPr>
                <w:rFonts w:ascii="Times New Roman" w:hAnsi="Times New Roman"/>
                <w:sz w:val="24"/>
              </w:rPr>
              <w:t xml:space="preserve"> w zak</w:t>
            </w:r>
            <w:r>
              <w:rPr>
                <w:rFonts w:ascii="Times New Roman" w:hAnsi="Times New Roman"/>
                <w:sz w:val="24"/>
              </w:rPr>
              <w:t>resie funduszy własnych zgłoszonego, odpowiednio,</w:t>
            </w:r>
            <w:r w:rsidR="00FC4B69">
              <w:rPr>
                <w:rFonts w:ascii="Times New Roman" w:hAnsi="Times New Roman"/>
                <w:sz w:val="24"/>
              </w:rPr>
              <w:t xml:space="preserve"> w kol</w:t>
            </w:r>
            <w:r>
              <w:rPr>
                <w:rFonts w:ascii="Times New Roman" w:hAnsi="Times New Roman"/>
                <w:sz w:val="24"/>
              </w:rPr>
              <w:t>umnie 0570 MKR SA SEC lub</w:t>
            </w:r>
            <w:r w:rsidR="00FC4B69">
              <w:rPr>
                <w:rFonts w:ascii="Times New Roman" w:hAnsi="Times New Roman"/>
                <w:sz w:val="24"/>
              </w:rPr>
              <w:t xml:space="preserve"> w kol</w:t>
            </w:r>
            <w:r>
              <w:rPr>
                <w:rFonts w:ascii="Times New Roman" w:hAnsi="Times New Roman"/>
                <w:sz w:val="24"/>
              </w:rPr>
              <w:t>umnach 0410</w:t>
            </w:r>
            <w:r w:rsidR="00FC4B69">
              <w:rPr>
                <w:rFonts w:ascii="Times New Roman" w:hAnsi="Times New Roman"/>
                <w:sz w:val="24"/>
              </w:rPr>
              <w:t xml:space="preserve"> i 0</w:t>
            </w:r>
            <w:r>
              <w:rPr>
                <w:rFonts w:ascii="Times New Roman" w:hAnsi="Times New Roman"/>
                <w:sz w:val="24"/>
              </w:rPr>
              <w:t>420 (mających znaczenie</w:t>
            </w:r>
            <w:r w:rsidR="00FC4B69">
              <w:rPr>
                <w:rFonts w:ascii="Times New Roman" w:hAnsi="Times New Roman"/>
                <w:sz w:val="24"/>
              </w:rPr>
              <w:t xml:space="preserve"> w odn</w:t>
            </w:r>
            <w:r>
              <w:rPr>
                <w:rFonts w:ascii="Times New Roman" w:hAnsi="Times New Roman"/>
                <w:sz w:val="24"/>
              </w:rPr>
              <w:t>iesieniu do wymogu</w:t>
            </w:r>
            <w:r w:rsidR="00FC4B69">
              <w:rPr>
                <w:rFonts w:ascii="Times New Roman" w:hAnsi="Times New Roman"/>
                <w:sz w:val="24"/>
              </w:rPr>
              <w:t xml:space="preserve"> w zak</w:t>
            </w:r>
            <w:r>
              <w:rPr>
                <w:rFonts w:ascii="Times New Roman" w:hAnsi="Times New Roman"/>
                <w:sz w:val="24"/>
              </w:rPr>
              <w:t>resie funduszy własnych) MKR SA CTP,</w:t>
            </w:r>
            <w:r w:rsidR="00FC4B69">
              <w:rPr>
                <w:rFonts w:ascii="Times New Roman" w:hAnsi="Times New Roman"/>
                <w:sz w:val="24"/>
              </w:rPr>
              <w:t xml:space="preserve"> w prz</w:t>
            </w:r>
            <w:r>
              <w:rPr>
                <w:rFonts w:ascii="Times New Roman" w:hAnsi="Times New Roman"/>
                <w:sz w:val="24"/>
              </w:rPr>
              <w:t xml:space="preserve">ypadku gdy instytucja </w:t>
            </w:r>
            <w:r>
              <w:rPr>
                <w:rFonts w:ascii="Times New Roman" w:hAnsi="Times New Roman"/>
                <w:sz w:val="24"/>
              </w:rPr>
              <w:lastRenderedPageBreak/>
              <w:t>stosuje uproszczoną metodę standardową</w:t>
            </w:r>
            <w:r w:rsidR="00FC4B69">
              <w:rPr>
                <w:rFonts w:ascii="Times New Roman" w:hAnsi="Times New Roman"/>
                <w:sz w:val="24"/>
              </w:rPr>
              <w:t xml:space="preserve"> w odn</w:t>
            </w:r>
            <w:r>
              <w:rPr>
                <w:rFonts w:ascii="Times New Roman" w:hAnsi="Times New Roman"/>
                <w:sz w:val="24"/>
              </w:rPr>
              <w:t>iesieniu do ryzyka rynkowego,</w:t>
            </w:r>
          </w:p>
          <w:p w14:paraId="693C7CE2" w14:textId="770E3056"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sumę wartości bezwzględnej wszystkich ważonych wskaźników wrażliwości sekurytyzacji na czynniki ryzyka, określoną do celów obliczania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spreadu kredytowego</w:t>
            </w:r>
            <w:r w:rsidR="00FC4B69">
              <w:rPr>
                <w:rFonts w:ascii="Times New Roman" w:hAnsi="Times New Roman"/>
                <w:sz w:val="24"/>
              </w:rPr>
              <w:t xml:space="preserve"> w odn</w:t>
            </w:r>
            <w:r>
              <w:rPr>
                <w:rFonts w:ascii="Times New Roman" w:hAnsi="Times New Roman"/>
                <w:sz w:val="24"/>
              </w:rPr>
              <w:t>iesieniu do pozycji sekurytyzacyjnych niewłączonych do ACTP lub ryzyka spreadu kredytowego</w:t>
            </w:r>
            <w:r w:rsidR="00FC4B69">
              <w:rPr>
                <w:rFonts w:ascii="Times New Roman" w:hAnsi="Times New Roman"/>
                <w:sz w:val="24"/>
              </w:rPr>
              <w:t xml:space="preserve"> w odn</w:t>
            </w:r>
            <w:r>
              <w:rPr>
                <w:rFonts w:ascii="Times New Roman" w:hAnsi="Times New Roman"/>
                <w:sz w:val="24"/>
              </w:rPr>
              <w:t>iesieniu do pozycji sekurytyzacyjnych włączonych do ACTP,</w:t>
            </w:r>
            <w:r w:rsidR="00FC4B69">
              <w:rPr>
                <w:rFonts w:ascii="Times New Roman" w:hAnsi="Times New Roman"/>
                <w:sz w:val="24"/>
              </w:rPr>
              <w:t xml:space="preserve"> w prz</w:t>
            </w:r>
            <w:r>
              <w:rPr>
                <w:rFonts w:ascii="Times New Roman" w:hAnsi="Times New Roman"/>
                <w:sz w:val="24"/>
              </w:rPr>
              <w:t>ypadku gdy instytucja stosuje metodę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Tekst wyjaśniający do celów konsultacji</w:t>
                  </w:r>
                </w:p>
                <w:p w14:paraId="23406B96" w14:textId="6562CFAE" w:rsidR="00933ADA" w:rsidRDefault="00933ADA" w:rsidP="00822842">
                  <w:pPr>
                    <w:pStyle w:val="body"/>
                  </w:pPr>
                  <w:r>
                    <w:t>W celu uproszczenia</w:t>
                  </w:r>
                  <w:r w:rsidR="00FC4B69">
                    <w:t xml:space="preserve"> i pom</w:t>
                  </w:r>
                  <w:r>
                    <w:t>imo faktu, że suma ta nie będzie odzwierciedlać różnic między obliczaniem S-TREA i U-TREA (zob. nowe kolumny poniżej), zarówno instytucje stosujące ASA, jak</w:t>
                  </w:r>
                  <w:r w:rsidR="00FC4B69">
                    <w:t xml:space="preserve"> i ins</w:t>
                  </w:r>
                  <w:r>
                    <w:t>tytucje stosujące AIMA są proszone</w:t>
                  </w:r>
                  <w:r w:rsidR="00FC4B69">
                    <w:t xml:space="preserve"> o zwy</w:t>
                  </w:r>
                  <w:r>
                    <w:t>kłe zgłoszenie sumy ważonych wskaźników wrażliwości określonych na podstawie SBM dla ryzyka spreadu kredytowego sekurytyzacji. Ze względu na przepisy dotyczące minimalnego progu kapitałowego przewiduje się, że zarówno instytucje stosujące ASA, jak</w:t>
                  </w:r>
                  <w:r w:rsidR="00FC4B69">
                    <w:t xml:space="preserve"> i ins</w:t>
                  </w:r>
                  <w:r>
                    <w:t>tytucje stosujące AIMA uzyskają tę wartość bez dodatkowego wysiłku.</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PUŁAP WAGI RYZYKA</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109D8C44" w:rsidR="00933ADA" w:rsidRPr="002A677E" w:rsidRDefault="00933ADA" w:rsidP="00822842">
            <w:pPr>
              <w:spacing w:before="0" w:after="0"/>
              <w:jc w:val="left"/>
              <w:rPr>
                <w:rFonts w:ascii="Times New Roman" w:hAnsi="Times New Roman"/>
                <w:sz w:val="24"/>
              </w:rPr>
            </w:pPr>
            <w:r>
              <w:rPr>
                <w:rFonts w:ascii="Times New Roman" w:hAnsi="Times New Roman"/>
                <w:sz w:val="24"/>
              </w:rPr>
              <w:t>Zmniejszenie S-TREA ze względu na pułap wagi ryzyka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67</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ZMNIEJSZENIE ZE WZGLĘDU NA OGÓLNY PUŁAP</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2D63DE9A" w:rsidR="00933ADA" w:rsidRPr="002A677E" w:rsidRDefault="00933ADA" w:rsidP="00822842">
            <w:pPr>
              <w:spacing w:before="0" w:after="0"/>
              <w:jc w:val="left"/>
              <w:rPr>
                <w:rFonts w:ascii="Times New Roman" w:hAnsi="Times New Roman"/>
                <w:sz w:val="24"/>
              </w:rPr>
            </w:pPr>
            <w:r>
              <w:rPr>
                <w:rFonts w:ascii="Times New Roman" w:hAnsi="Times New Roman"/>
                <w:sz w:val="24"/>
              </w:rPr>
              <w:t>Zmniejszenie S-TREA ze względu na ogólny pułap zgodnie</w:t>
            </w:r>
            <w:r w:rsidR="00FC4B69">
              <w:rPr>
                <w:rFonts w:ascii="Times New Roman" w:hAnsi="Times New Roman"/>
                <w:sz w:val="24"/>
              </w:rPr>
              <w:t xml:space="preserve"> z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68</w:t>
            </w:r>
            <w:r w:rsidR="00FC4B69">
              <w:rPr>
                <w:rFonts w:ascii="Times New Roman" w:hAnsi="Times New Roman"/>
                <w:sz w:val="24"/>
              </w:rPr>
              <w:t xml:space="preserve"> i </w:t>
            </w:r>
            <w:r w:rsidR="00FC4B69" w:rsidRPr="00FC4B69">
              <w:rPr>
                <w:rFonts w:ascii="Times New Roman" w:hAnsi="Times New Roman"/>
                <w:sz w:val="24"/>
              </w:rPr>
              <w:t>art</w:t>
            </w:r>
            <w:r w:rsidRPr="00FC4B69">
              <w:rPr>
                <w:rFonts w:ascii="Times New Roman" w:hAnsi="Times New Roman"/>
                <w:sz w:val="24"/>
              </w:rPr>
              <w:t>.</w:t>
            </w:r>
            <w:r w:rsidR="00FC4B69" w:rsidRPr="00FC4B69">
              <w:rPr>
                <w:rFonts w:ascii="Times New Roman" w:hAnsi="Times New Roman"/>
                <w:sz w:val="24"/>
              </w:rPr>
              <w:t> </w:t>
            </w:r>
            <w:r w:rsidRPr="00FC4B69">
              <w:rPr>
                <w:rFonts w:ascii="Times New Roman" w:hAnsi="Times New Roman"/>
                <w:sz w:val="24"/>
              </w:rPr>
              <w:t>2</w:t>
            </w:r>
            <w:r>
              <w:rPr>
                <w:rFonts w:ascii="Times New Roman" w:hAnsi="Times New Roman"/>
                <w:sz w:val="24"/>
              </w:rPr>
              <w:t xml:space="preserve">69a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 xml:space="preserve">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 UWZGLĘDNIENIU PUŁAPU</w:t>
            </w:r>
          </w:p>
          <w:p w14:paraId="433303FD" w14:textId="77777777" w:rsidR="00933ADA" w:rsidRPr="002A677E" w:rsidRDefault="00933ADA" w:rsidP="00822842">
            <w:pPr>
              <w:spacing w:before="0" w:after="0"/>
              <w:jc w:val="left"/>
              <w:rPr>
                <w:rFonts w:ascii="Times New Roman" w:hAnsi="Times New Roman"/>
                <w:sz w:val="24"/>
              </w:rPr>
            </w:pPr>
          </w:p>
          <w:p w14:paraId="172CC8C5" w14:textId="493499DC" w:rsidR="00933ADA" w:rsidRPr="002A677E" w:rsidRDefault="00933ADA" w:rsidP="00822842">
            <w:pPr>
              <w:spacing w:before="0" w:after="0"/>
              <w:rPr>
                <w:rFonts w:ascii="Times New Roman" w:hAnsi="Times New Roman"/>
                <w:sz w:val="24"/>
              </w:rPr>
            </w:pPr>
            <w:r>
              <w:rPr>
                <w:rFonts w:ascii="Times New Roman" w:hAnsi="Times New Roman"/>
                <w:sz w:val="24"/>
              </w:rPr>
              <w:t>W kolumnie tej gromadzone są informacje na temat S-TREA po uwzględnieniu pułapu mającego zastosowanie do pozycji sekurytyzacyjnych, obliczonej zgodnie</w:t>
            </w:r>
            <w:r w:rsidR="00FC4B69">
              <w:rPr>
                <w:rFonts w:ascii="Times New Roman" w:hAnsi="Times New Roman"/>
                <w:sz w:val="24"/>
              </w:rPr>
              <w:t xml:space="preserve"> z czę</w:t>
            </w:r>
            <w:r>
              <w:rPr>
                <w:rFonts w:ascii="Times New Roman" w:hAnsi="Times New Roman"/>
                <w:sz w:val="24"/>
              </w:rPr>
              <w:t xml:space="preserve">ścią trzecią tytuł II rozdział 5 sekcja 3 rozporządzenia (UE) nr 575/2013. </w:t>
            </w:r>
          </w:p>
          <w:p w14:paraId="2C1EE876" w14:textId="77777777" w:rsidR="00933ADA" w:rsidRPr="002A677E" w:rsidRDefault="00933ADA" w:rsidP="00822842">
            <w:pPr>
              <w:spacing w:before="0" w:after="0"/>
              <w:rPr>
                <w:rFonts w:ascii="Times New Roman" w:hAnsi="Times New Roman"/>
                <w:sz w:val="24"/>
              </w:rPr>
            </w:pPr>
          </w:p>
          <w:p w14:paraId="38C8C7DE" w14:textId="71C8B05D" w:rsidR="00933ADA" w:rsidRDefault="00933ADA" w:rsidP="00822842">
            <w:pPr>
              <w:spacing w:before="0" w:after="0"/>
              <w:jc w:val="left"/>
              <w:rPr>
                <w:rFonts w:ascii="Times New Roman" w:hAnsi="Times New Roman"/>
                <w:sz w:val="24"/>
              </w:rPr>
            </w:pPr>
            <w:r>
              <w:rPr>
                <w:rFonts w:ascii="Times New Roman" w:hAnsi="Times New Roman"/>
                <w:sz w:val="24"/>
              </w:rPr>
              <w:t>W przypadku sekurytyzacji</w:t>
            </w:r>
            <w:r w:rsidR="00FC4B69">
              <w:rPr>
                <w:rFonts w:ascii="Times New Roman" w:hAnsi="Times New Roman"/>
                <w:sz w:val="24"/>
              </w:rPr>
              <w:t xml:space="preserve"> w por</w:t>
            </w:r>
            <w:r>
              <w:rPr>
                <w:rFonts w:ascii="Times New Roman" w:hAnsi="Times New Roman"/>
                <w:sz w:val="24"/>
              </w:rPr>
              <w:t>tfelu handlowym, zgłasza się:</w:t>
            </w:r>
          </w:p>
          <w:p w14:paraId="09A850B1" w14:textId="4C85D748"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kwotę ekspozycji ważonej ryzykiem dotyczącą ryzyka szczególnego, ustaloną jako 12,5-krotność wymogu</w:t>
            </w:r>
            <w:r w:rsidR="00FC4B69">
              <w:rPr>
                <w:rFonts w:ascii="Times New Roman" w:hAnsi="Times New Roman"/>
                <w:sz w:val="24"/>
              </w:rPr>
              <w:t xml:space="preserve"> w zak</w:t>
            </w:r>
            <w:r>
              <w:rPr>
                <w:rFonts w:ascii="Times New Roman" w:hAnsi="Times New Roman"/>
                <w:sz w:val="24"/>
              </w:rPr>
              <w:t>resie funduszy własnych zgłoszonego, odpowiednio,</w:t>
            </w:r>
            <w:r w:rsidR="00FC4B69">
              <w:rPr>
                <w:rFonts w:ascii="Times New Roman" w:hAnsi="Times New Roman"/>
                <w:sz w:val="24"/>
              </w:rPr>
              <w:t xml:space="preserve"> w kol</w:t>
            </w:r>
            <w:r>
              <w:rPr>
                <w:rFonts w:ascii="Times New Roman" w:hAnsi="Times New Roman"/>
                <w:sz w:val="24"/>
              </w:rPr>
              <w:t>umnie 0570 MKR SA SEC lub</w:t>
            </w:r>
            <w:r w:rsidR="00FC4B69">
              <w:rPr>
                <w:rFonts w:ascii="Times New Roman" w:hAnsi="Times New Roman"/>
                <w:sz w:val="24"/>
              </w:rPr>
              <w:t xml:space="preserve"> w kol</w:t>
            </w:r>
            <w:r>
              <w:rPr>
                <w:rFonts w:ascii="Times New Roman" w:hAnsi="Times New Roman"/>
                <w:sz w:val="24"/>
              </w:rPr>
              <w:t>umnach 0410</w:t>
            </w:r>
            <w:r w:rsidR="00FC4B69">
              <w:rPr>
                <w:rFonts w:ascii="Times New Roman" w:hAnsi="Times New Roman"/>
                <w:sz w:val="24"/>
              </w:rPr>
              <w:t xml:space="preserve"> i 0</w:t>
            </w:r>
            <w:r>
              <w:rPr>
                <w:rFonts w:ascii="Times New Roman" w:hAnsi="Times New Roman"/>
                <w:sz w:val="24"/>
              </w:rPr>
              <w:t>420 (mających znaczenie</w:t>
            </w:r>
            <w:r w:rsidR="00FC4B69">
              <w:rPr>
                <w:rFonts w:ascii="Times New Roman" w:hAnsi="Times New Roman"/>
                <w:sz w:val="24"/>
              </w:rPr>
              <w:t xml:space="preserve"> w odn</w:t>
            </w:r>
            <w:r>
              <w:rPr>
                <w:rFonts w:ascii="Times New Roman" w:hAnsi="Times New Roman"/>
                <w:sz w:val="24"/>
              </w:rPr>
              <w:t>iesieniu do wymogu</w:t>
            </w:r>
            <w:r w:rsidR="00FC4B69">
              <w:rPr>
                <w:rFonts w:ascii="Times New Roman" w:hAnsi="Times New Roman"/>
                <w:sz w:val="24"/>
              </w:rPr>
              <w:t xml:space="preserve"> w zak</w:t>
            </w:r>
            <w:r>
              <w:rPr>
                <w:rFonts w:ascii="Times New Roman" w:hAnsi="Times New Roman"/>
                <w:sz w:val="24"/>
              </w:rPr>
              <w:t>resie funduszy własnych) MKR SA CTP,</w:t>
            </w:r>
            <w:r w:rsidR="00FC4B69">
              <w:rPr>
                <w:rFonts w:ascii="Times New Roman" w:hAnsi="Times New Roman"/>
                <w:sz w:val="24"/>
              </w:rPr>
              <w:t xml:space="preserve"> w prz</w:t>
            </w:r>
            <w:r>
              <w:rPr>
                <w:rFonts w:ascii="Times New Roman" w:hAnsi="Times New Roman"/>
                <w:sz w:val="24"/>
              </w:rPr>
              <w:t>ypadku gdy instytucja stosuje uproszczoną metodę standardową</w:t>
            </w:r>
            <w:r w:rsidR="00FC4B69">
              <w:rPr>
                <w:rFonts w:ascii="Times New Roman" w:hAnsi="Times New Roman"/>
                <w:sz w:val="24"/>
              </w:rPr>
              <w:t xml:space="preserve"> w odn</w:t>
            </w:r>
            <w:r>
              <w:rPr>
                <w:rFonts w:ascii="Times New Roman" w:hAnsi="Times New Roman"/>
                <w:sz w:val="24"/>
              </w:rPr>
              <w:t>iesieniu do ryzyka rynkowego,</w:t>
            </w:r>
          </w:p>
          <w:p w14:paraId="192C3CE4" w14:textId="2BAA487D"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sumę wartości bezwzględnej wszystkich ważonych wskaźników wrażliwości sekurytyzacji na czynniki ryzyka, określoną do celów obliczania wymogów</w:t>
            </w:r>
            <w:r w:rsidR="00FC4B69">
              <w:rPr>
                <w:rFonts w:ascii="Times New Roman" w:hAnsi="Times New Roman"/>
                <w:sz w:val="24"/>
              </w:rPr>
              <w:t xml:space="preserve"> w zak</w:t>
            </w:r>
            <w:r>
              <w:rPr>
                <w:rFonts w:ascii="Times New Roman" w:hAnsi="Times New Roman"/>
                <w:sz w:val="24"/>
              </w:rPr>
              <w:t>resie funduszy własnych</w:t>
            </w:r>
            <w:r w:rsidR="00FC4B69">
              <w:rPr>
                <w:rFonts w:ascii="Times New Roman" w:hAnsi="Times New Roman"/>
                <w:sz w:val="24"/>
              </w:rPr>
              <w:t xml:space="preserve"> z tyt</w:t>
            </w:r>
            <w:r>
              <w:rPr>
                <w:rFonts w:ascii="Times New Roman" w:hAnsi="Times New Roman"/>
                <w:sz w:val="24"/>
              </w:rPr>
              <w:t>ułu ryzyka spreadu kredytowego</w:t>
            </w:r>
            <w:r w:rsidR="00FC4B69">
              <w:rPr>
                <w:rFonts w:ascii="Times New Roman" w:hAnsi="Times New Roman"/>
                <w:sz w:val="24"/>
              </w:rPr>
              <w:t xml:space="preserve"> w odn</w:t>
            </w:r>
            <w:r>
              <w:rPr>
                <w:rFonts w:ascii="Times New Roman" w:hAnsi="Times New Roman"/>
                <w:sz w:val="24"/>
              </w:rPr>
              <w:t>iesieniu do pozycji sekurytyzacyjnych niewłączonych do ACTP lub ryzyka spreadu kredytowego</w:t>
            </w:r>
            <w:r w:rsidR="00FC4B69">
              <w:rPr>
                <w:rFonts w:ascii="Times New Roman" w:hAnsi="Times New Roman"/>
                <w:sz w:val="24"/>
              </w:rPr>
              <w:t xml:space="preserve"> w odn</w:t>
            </w:r>
            <w:r>
              <w:rPr>
                <w:rFonts w:ascii="Times New Roman" w:hAnsi="Times New Roman"/>
                <w:sz w:val="24"/>
              </w:rPr>
              <w:t xml:space="preserve">iesieniu do </w:t>
            </w:r>
            <w:r>
              <w:rPr>
                <w:rFonts w:ascii="Times New Roman" w:hAnsi="Times New Roman"/>
                <w:sz w:val="24"/>
              </w:rPr>
              <w:lastRenderedPageBreak/>
              <w:t>pozycji sekurytyzacyjnych włączonych do ACTP,</w:t>
            </w:r>
            <w:r w:rsidR="00FC4B69">
              <w:rPr>
                <w:rFonts w:ascii="Times New Roman" w:hAnsi="Times New Roman"/>
                <w:sz w:val="24"/>
              </w:rPr>
              <w:t xml:space="preserve"> w prz</w:t>
            </w:r>
            <w:r>
              <w:rPr>
                <w:rFonts w:ascii="Times New Roman" w:hAnsi="Times New Roman"/>
                <w:sz w:val="24"/>
              </w:rPr>
              <w:t>ypadku gdy instytucja stosuje metodę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POZYCJE UZUPEŁNIAJĄCE</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KWOTA EKSPOZYCJI WAŻONEJ RYZYKIEM WEDŁUG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6CF0C4FD" w:rsidR="00933ADA" w:rsidRPr="002A677E" w:rsidRDefault="00933ADA" w:rsidP="00822842">
            <w:pPr>
              <w:spacing w:before="0" w:after="0"/>
              <w:jc w:val="left"/>
              <w:rPr>
                <w:rFonts w:ascii="Times New Roman" w:hAnsi="Times New Roman"/>
                <w:sz w:val="24"/>
              </w:rPr>
            </w:pPr>
            <w:r>
              <w:rPr>
                <w:rFonts w:ascii="Times New Roman" w:hAnsi="Times New Roman"/>
                <w:sz w:val="24"/>
              </w:rPr>
              <w:t>Art. 263</w:t>
            </w:r>
            <w:r w:rsidR="00FC4B69">
              <w:rPr>
                <w:rFonts w:ascii="Times New Roman" w:hAnsi="Times New Roman"/>
                <w:sz w:val="24"/>
              </w:rPr>
              <w:t xml:space="preserve"> i 2</w:t>
            </w:r>
            <w:r>
              <w:rPr>
                <w:rFonts w:ascii="Times New Roman" w:hAnsi="Times New Roman"/>
                <w:sz w:val="24"/>
              </w:rPr>
              <w:t xml:space="preserve">64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Niniejszą kolumnę zgłasza się wyłącznie</w:t>
            </w:r>
            <w:r w:rsidR="00FC4B69">
              <w:rPr>
                <w:rFonts w:ascii="Times New Roman" w:hAnsi="Times New Roman"/>
                <w:sz w:val="24"/>
              </w:rPr>
              <w:t xml:space="preserve"> w odn</w:t>
            </w:r>
            <w:r>
              <w:rPr>
                <w:rFonts w:ascii="Times New Roman" w:hAnsi="Times New Roman"/>
                <w:sz w:val="24"/>
              </w:rPr>
              <w:t>iesieniu do ocenianych transakcji przed zastosowaniem ograniczenia</w:t>
            </w:r>
            <w:r w:rsidR="00FC4B69">
              <w:rPr>
                <w:rFonts w:ascii="Times New Roman" w:hAnsi="Times New Roman"/>
                <w:sz w:val="24"/>
              </w:rPr>
              <w:t xml:space="preserve"> i nie</w:t>
            </w:r>
            <w:r>
              <w:rPr>
                <w:rFonts w:ascii="Times New Roman" w:hAnsi="Times New Roman"/>
                <w:sz w:val="24"/>
              </w:rPr>
              <w:t xml:space="preserve"> zgłasza się jej</w:t>
            </w:r>
            <w:r w:rsidR="00FC4B69">
              <w:rPr>
                <w:rFonts w:ascii="Times New Roman" w:hAnsi="Times New Roman"/>
                <w:sz w:val="24"/>
              </w:rPr>
              <w:t xml:space="preserve"> w odn</w:t>
            </w:r>
            <w:r>
              <w:rPr>
                <w:rFonts w:ascii="Times New Roman" w:hAnsi="Times New Roman"/>
                <w:sz w:val="24"/>
              </w:rPr>
              <w:t>iesieniu do transakcji</w:t>
            </w:r>
            <w:r w:rsidR="00FC4B69">
              <w:rPr>
                <w:rFonts w:ascii="Times New Roman" w:hAnsi="Times New Roman"/>
                <w:sz w:val="24"/>
              </w:rPr>
              <w:t xml:space="preserve"> w ram</w:t>
            </w:r>
            <w:r>
              <w:rPr>
                <w:rFonts w:ascii="Times New Roman" w:hAnsi="Times New Roman"/>
                <w:sz w:val="24"/>
              </w:rPr>
              <w:t xml:space="preserve">ach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KWOTA EKSPOZYCJI WAŻONEJ RYZYKIEM WEDŁUG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681D5597" w:rsidR="00933ADA" w:rsidRPr="002A677E" w:rsidRDefault="00933ADA" w:rsidP="00822842">
            <w:pPr>
              <w:spacing w:before="0" w:after="0"/>
              <w:jc w:val="left"/>
              <w:rPr>
                <w:rFonts w:ascii="Times New Roman" w:hAnsi="Times New Roman"/>
                <w:sz w:val="24"/>
              </w:rPr>
            </w:pPr>
            <w:r>
              <w:rPr>
                <w:rFonts w:ascii="Times New Roman" w:hAnsi="Times New Roman"/>
                <w:sz w:val="24"/>
              </w:rPr>
              <w:t>Art. 261</w:t>
            </w:r>
            <w:r w:rsidR="00FC4B69">
              <w:rPr>
                <w:rFonts w:ascii="Times New Roman" w:hAnsi="Times New Roman"/>
                <w:sz w:val="24"/>
              </w:rPr>
              <w:t xml:space="preserve"> i 2</w:t>
            </w:r>
            <w:r>
              <w:rPr>
                <w:rFonts w:ascii="Times New Roman" w:hAnsi="Times New Roman"/>
                <w:sz w:val="24"/>
              </w:rPr>
              <w:t xml:space="preserve">62 rozporządzenia (UE) </w:t>
            </w:r>
            <w:r w:rsidRPr="00FC4B69">
              <w:rPr>
                <w:rFonts w:ascii="Times New Roman" w:hAnsi="Times New Roman"/>
                <w:sz w:val="24"/>
              </w:rPr>
              <w:t>nr</w:t>
            </w:r>
            <w:r w:rsidR="00FC4B69" w:rsidRPr="00FC4B69">
              <w:rPr>
                <w:rFonts w:ascii="Times New Roman" w:hAnsi="Times New Roman"/>
                <w:sz w:val="24"/>
              </w:rPr>
              <w:t> </w:t>
            </w:r>
            <w:r w:rsidRPr="00FC4B69">
              <w:rPr>
                <w:rFonts w:ascii="Times New Roman" w:hAnsi="Times New Roman"/>
                <w:sz w:val="24"/>
              </w:rPr>
              <w:t>5</w:t>
            </w:r>
            <w:r>
              <w:rPr>
                <w:rFonts w:ascii="Times New Roman" w:hAnsi="Times New Roman"/>
                <w:sz w:val="24"/>
              </w:rPr>
              <w:t>75/2013. Niniejszą kolumnę zgłasza się przed zastosowaniem ograniczenia</w:t>
            </w:r>
            <w:r w:rsidR="00FC4B69">
              <w:rPr>
                <w:rFonts w:ascii="Times New Roman" w:hAnsi="Times New Roman"/>
                <w:sz w:val="24"/>
              </w:rPr>
              <w:t xml:space="preserve"> i nie</w:t>
            </w:r>
            <w:r>
              <w:rPr>
                <w:rFonts w:ascii="Times New Roman" w:hAnsi="Times New Roman"/>
                <w:sz w:val="24"/>
              </w:rPr>
              <w:t xml:space="preserve"> zgłasza się jej</w:t>
            </w:r>
            <w:r w:rsidR="00FC4B69">
              <w:rPr>
                <w:rFonts w:ascii="Times New Roman" w:hAnsi="Times New Roman"/>
                <w:sz w:val="24"/>
              </w:rPr>
              <w:t xml:space="preserve"> w odn</w:t>
            </w:r>
            <w:r>
              <w:rPr>
                <w:rFonts w:ascii="Times New Roman" w:hAnsi="Times New Roman"/>
                <w:sz w:val="24"/>
              </w:rPr>
              <w:t>iesieniu do transakcji</w:t>
            </w:r>
            <w:r w:rsidR="00FC4B69">
              <w:rPr>
                <w:rFonts w:ascii="Times New Roman" w:hAnsi="Times New Roman"/>
                <w:sz w:val="24"/>
              </w:rPr>
              <w:t xml:space="preserve"> w ram</w:t>
            </w:r>
            <w:r>
              <w:rPr>
                <w:rFonts w:ascii="Times New Roman" w:hAnsi="Times New Roman"/>
                <w:sz w:val="24"/>
              </w:rPr>
              <w:t>ach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MINIMALNY PRÓG KAPITAŁOWY: KWOTA EKSPOZYCJI WAŻONEJ RYZYKIEM ZWIĄZANA Z WPŁYWEM STOSOWANIA ART. 465 UST. 7 ROZPORZĄDZENIA (UE) NR 575/2013</w:t>
            </w:r>
          </w:p>
          <w:p w14:paraId="121EEE73" w14:textId="21CF5E7E"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Różnicę między kwotą ekspozycji ważonej ryzykiem bez zastosowania przepisów przejściowych</w:t>
            </w:r>
            <w:r w:rsidR="00FC4B69">
              <w:rPr>
                <w:rFonts w:ascii="Times New Roman" w:hAnsi="Times New Roman"/>
                <w:sz w:val="24"/>
              </w:rPr>
              <w:t xml:space="preserve"> a kwo</w:t>
            </w:r>
            <w:r>
              <w:rPr>
                <w:rFonts w:ascii="Times New Roman" w:hAnsi="Times New Roman"/>
                <w:sz w:val="24"/>
              </w:rPr>
              <w:t>tą ekspozycji ważonej ryzykiem</w:t>
            </w:r>
            <w:r w:rsidR="00FC4B69">
              <w:rPr>
                <w:rFonts w:ascii="Times New Roman" w:hAnsi="Times New Roman"/>
                <w:sz w:val="24"/>
              </w:rPr>
              <w:t xml:space="preserve"> z zas</w:t>
            </w:r>
            <w:r>
              <w:rPr>
                <w:rFonts w:ascii="Times New Roman" w:hAnsi="Times New Roman"/>
                <w:sz w:val="24"/>
              </w:rPr>
              <w:t>tosowaniem przepisów przejściowych zgłasza się</w:t>
            </w:r>
            <w:r w:rsidR="00FC4B69">
              <w:rPr>
                <w:rFonts w:ascii="Times New Roman" w:hAnsi="Times New Roman"/>
                <w:sz w:val="24"/>
              </w:rPr>
              <w:t xml:space="preserve"> w odn</w:t>
            </w:r>
            <w:r>
              <w:rPr>
                <w:rFonts w:ascii="Times New Roman" w:hAnsi="Times New Roman"/>
                <w:sz w:val="24"/>
              </w:rPr>
              <w:t>iesieniu do każdej</w:t>
            </w:r>
            <w:r w:rsidR="00FC4B69">
              <w:rPr>
                <w:rFonts w:ascii="Times New Roman" w:hAnsi="Times New Roman"/>
                <w:sz w:val="24"/>
              </w:rPr>
              <w:t xml:space="preserve"> z nas</w:t>
            </w:r>
            <w:r>
              <w:rPr>
                <w:rFonts w:ascii="Times New Roman" w:hAnsi="Times New Roman"/>
                <w:sz w:val="24"/>
              </w:rPr>
              <w:t>tępujących trzech metod: SEC-IRBA, metoda wewnętrznych oszacowań</w:t>
            </w:r>
            <w:r w:rsidR="00FC4B69">
              <w:rPr>
                <w:rFonts w:ascii="Times New Roman" w:hAnsi="Times New Roman"/>
                <w:sz w:val="24"/>
              </w:rPr>
              <w:t xml:space="preserve"> i szc</w:t>
            </w:r>
            <w:r>
              <w:rPr>
                <w:rFonts w:ascii="Times New Roman" w:hAnsi="Times New Roman"/>
                <w:sz w:val="24"/>
              </w:rPr>
              <w:t>zególne traktowanie transz uprzywilejowanych</w:t>
            </w:r>
            <w:r w:rsidR="00FC4B69">
              <w:rPr>
                <w:rFonts w:ascii="Times New Roman" w:hAnsi="Times New Roman"/>
                <w:sz w:val="24"/>
              </w:rPr>
              <w:t xml:space="preserve"> w ram</w:t>
            </w:r>
            <w:r>
              <w:rPr>
                <w:rFonts w:ascii="Times New Roman" w:hAnsi="Times New Roman"/>
                <w:sz w:val="24"/>
              </w:rPr>
              <w:t>ach kwalifikujących się sekurytyzacji SPE.</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POZYCJE SEKURYTYZACYJNE – PORTFEL HANDLOWY</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UJĘTE W KORELACYJNYM PORTFELU HANDLOWYM CZY NIEUJĘTE W KORELACYJNYM PORTFELU HANDLOWYM?</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03EB607B"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Instytucje zgłaszają jeden</w:t>
            </w:r>
            <w:r w:rsidR="00FC4B69">
              <w:rPr>
                <w:rStyle w:val="InstructionsTabelleText"/>
                <w:rFonts w:ascii="Times New Roman" w:hAnsi="Times New Roman"/>
                <w:sz w:val="24"/>
              </w:rPr>
              <w:t xml:space="preserve"> z nas</w:t>
            </w:r>
            <w:r>
              <w:rPr>
                <w:rStyle w:val="InstructionsTabelleText"/>
                <w:rFonts w:ascii="Times New Roman" w:hAnsi="Times New Roman"/>
                <w:sz w:val="24"/>
              </w:rPr>
              <w:t>tępujących skrótów:</w:t>
            </w:r>
          </w:p>
          <w:p w14:paraId="3077C0BF" w14:textId="232073E6"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ujęte</w:t>
            </w:r>
            <w:r w:rsidR="00FC4B69">
              <w:rPr>
                <w:rStyle w:val="InstructionsTabelleText"/>
                <w:rFonts w:ascii="Times New Roman" w:hAnsi="Times New Roman"/>
                <w:sz w:val="24"/>
              </w:rPr>
              <w:t xml:space="preserve"> w kor</w:t>
            </w:r>
            <w:r>
              <w:rPr>
                <w:rStyle w:val="InstructionsTabelleText"/>
                <w:rFonts w:ascii="Times New Roman" w:hAnsi="Times New Roman"/>
                <w:sz w:val="24"/>
              </w:rPr>
              <w:t>elacyjnym portfelu handlowym;</w:t>
            </w:r>
          </w:p>
          <w:p w14:paraId="7D2A23A5" w14:textId="2BE0F11B"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„Non-CPT” – nieujęte</w:t>
            </w:r>
            <w:r w:rsidR="00FC4B69">
              <w:rPr>
                <w:rStyle w:val="InstructionsTabelleText"/>
                <w:rFonts w:ascii="Times New Roman" w:hAnsi="Times New Roman"/>
                <w:sz w:val="24"/>
              </w:rPr>
              <w:t xml:space="preserve"> w kor</w:t>
            </w:r>
            <w:r>
              <w:rPr>
                <w:rStyle w:val="InstructionsTabelleText"/>
                <w:rFonts w:ascii="Times New Roman" w:hAnsi="Times New Roman"/>
                <w:sz w:val="24"/>
              </w:rPr>
              <w:t>elacyjnym portfelu handlowym.</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46829D05"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Rozporządzenie Parlamentu Europejskiego</w:t>
      </w:r>
      <w:r w:rsidR="00FC4B69">
        <w:rPr>
          <w:rFonts w:ascii="Times New Roman" w:hAnsi="Times New Roman"/>
          <w:color w:val="444444"/>
          <w:sz w:val="20"/>
        </w:rPr>
        <w:t xml:space="preserve"> i Rad</w:t>
      </w:r>
      <w:r>
        <w:rPr>
          <w:rFonts w:ascii="Times New Roman" w:hAnsi="Times New Roman"/>
          <w:color w:val="444444"/>
          <w:sz w:val="20"/>
        </w:rPr>
        <w:t>y (UE) 2017/2402</w:t>
      </w:r>
      <w:r w:rsidR="00FC4B69">
        <w:rPr>
          <w:rFonts w:ascii="Times New Roman" w:hAnsi="Times New Roman"/>
          <w:color w:val="444444"/>
          <w:sz w:val="20"/>
        </w:rPr>
        <w:t xml:space="preserve"> z dni</w:t>
      </w:r>
      <w:r>
        <w:rPr>
          <w:rFonts w:ascii="Times New Roman" w:hAnsi="Times New Roman"/>
          <w:color w:val="444444"/>
          <w:sz w:val="20"/>
        </w:rPr>
        <w:t>a 12 grudnia 20</w:t>
      </w:r>
      <w:r w:rsidRPr="00FC4B69">
        <w:rPr>
          <w:rFonts w:ascii="Times New Roman" w:hAnsi="Times New Roman"/>
          <w:color w:val="444444"/>
          <w:sz w:val="20"/>
        </w:rPr>
        <w:t>17</w:t>
      </w:r>
      <w:r w:rsidR="00FC4B69" w:rsidRPr="00FC4B69">
        <w:rPr>
          <w:rFonts w:ascii="Times New Roman" w:hAnsi="Times New Roman"/>
          <w:color w:val="444444"/>
          <w:sz w:val="20"/>
        </w:rPr>
        <w:t> </w:t>
      </w:r>
      <w:r w:rsidRPr="00FC4B69">
        <w:rPr>
          <w:rFonts w:ascii="Times New Roman" w:hAnsi="Times New Roman"/>
          <w:color w:val="444444"/>
          <w:sz w:val="20"/>
        </w:rPr>
        <w:t>r.</w:t>
      </w:r>
      <w:r w:rsidR="00FC4B69">
        <w:rPr>
          <w:rFonts w:ascii="Times New Roman" w:hAnsi="Times New Roman"/>
          <w:color w:val="444444"/>
          <w:sz w:val="20"/>
        </w:rPr>
        <w:t xml:space="preserve"> w spr</w:t>
      </w:r>
      <w:r>
        <w:rPr>
          <w:rFonts w:ascii="Times New Roman" w:hAnsi="Times New Roman"/>
          <w:color w:val="444444"/>
          <w:sz w:val="20"/>
        </w:rPr>
        <w:t>awie ustanowienia ogólnych ram dla sekurytyzacji oraz utworzenia szczególnych ram dla prostych, przejrzystych</w:t>
      </w:r>
      <w:r w:rsidR="00FC4B69">
        <w:rPr>
          <w:rFonts w:ascii="Times New Roman" w:hAnsi="Times New Roman"/>
          <w:color w:val="444444"/>
          <w:sz w:val="20"/>
        </w:rPr>
        <w:t xml:space="preserve"> i sta</w:t>
      </w:r>
      <w:r>
        <w:rPr>
          <w:rFonts w:ascii="Times New Roman" w:hAnsi="Times New Roman"/>
          <w:color w:val="444444"/>
          <w:sz w:val="20"/>
        </w:rPr>
        <w:t>ndardowych sekurytyzacji,</w:t>
      </w:r>
      <w:r w:rsidR="00FC4B69">
        <w:rPr>
          <w:rFonts w:ascii="Times New Roman" w:hAnsi="Times New Roman"/>
          <w:color w:val="444444"/>
          <w:sz w:val="20"/>
        </w:rPr>
        <w:t xml:space="preserve"> a tak</w:t>
      </w:r>
      <w:r>
        <w:rPr>
          <w:rFonts w:ascii="Times New Roman" w:hAnsi="Times New Roman"/>
          <w:color w:val="444444"/>
          <w:sz w:val="20"/>
        </w:rPr>
        <w:t>że zmieniające dyrektywy 2009/65/WE, 2009/138/WE</w:t>
      </w:r>
      <w:r w:rsidR="00FC4B69">
        <w:rPr>
          <w:rFonts w:ascii="Times New Roman" w:hAnsi="Times New Roman"/>
          <w:color w:val="444444"/>
          <w:sz w:val="20"/>
        </w:rPr>
        <w:t xml:space="preserve"> i 2</w:t>
      </w:r>
      <w:r>
        <w:rPr>
          <w:rFonts w:ascii="Times New Roman" w:hAnsi="Times New Roman"/>
          <w:color w:val="444444"/>
          <w:sz w:val="20"/>
        </w:rPr>
        <w:t xml:space="preserve">011/61/UE oraz rozporządzenia (WE) </w:t>
      </w:r>
      <w:r w:rsidRPr="00FC4B69">
        <w:rPr>
          <w:rFonts w:ascii="Times New Roman" w:hAnsi="Times New Roman"/>
          <w:color w:val="444444"/>
          <w:sz w:val="20"/>
        </w:rPr>
        <w:t>nr</w:t>
      </w:r>
      <w:r w:rsidR="00FC4B69" w:rsidRPr="00FC4B69">
        <w:rPr>
          <w:rFonts w:ascii="Times New Roman" w:hAnsi="Times New Roman"/>
          <w:color w:val="444444"/>
          <w:sz w:val="20"/>
        </w:rPr>
        <w:t> </w:t>
      </w:r>
      <w:r w:rsidRPr="00FC4B69">
        <w:rPr>
          <w:rFonts w:ascii="Times New Roman" w:hAnsi="Times New Roman"/>
          <w:color w:val="444444"/>
          <w:sz w:val="20"/>
        </w:rPr>
        <w:t>1</w:t>
      </w:r>
      <w:r>
        <w:rPr>
          <w:rFonts w:ascii="Times New Roman" w:hAnsi="Times New Roman"/>
          <w:color w:val="444444"/>
          <w:sz w:val="20"/>
        </w:rPr>
        <w:t xml:space="preserve">060/2009 i (UE) </w:t>
      </w:r>
      <w:r w:rsidRPr="00FC4B69">
        <w:rPr>
          <w:rFonts w:ascii="Times New Roman" w:hAnsi="Times New Roman"/>
          <w:color w:val="444444"/>
          <w:sz w:val="20"/>
        </w:rPr>
        <w:t>nr</w:t>
      </w:r>
      <w:r w:rsidR="00FC4B69" w:rsidRPr="00FC4B69">
        <w:rPr>
          <w:rFonts w:ascii="Times New Roman" w:hAnsi="Times New Roman"/>
          <w:color w:val="444444"/>
          <w:sz w:val="20"/>
        </w:rPr>
        <w:t> </w:t>
      </w:r>
      <w:r w:rsidRPr="00FC4B69">
        <w:rPr>
          <w:rFonts w:ascii="Times New Roman" w:hAnsi="Times New Roman"/>
          <w:color w:val="444444"/>
          <w:sz w:val="20"/>
        </w:rPr>
        <w:t>6</w:t>
      </w:r>
      <w:r>
        <w:rPr>
          <w:rFonts w:ascii="Times New Roman" w:hAnsi="Times New Roman"/>
          <w:color w:val="444444"/>
          <w:sz w:val="20"/>
        </w:rPr>
        <w:t>48/2012 (Dz.U. L 347</w:t>
      </w:r>
      <w:r w:rsidR="00FC4B69">
        <w:rPr>
          <w:rFonts w:ascii="Times New Roman" w:hAnsi="Times New Roman"/>
          <w:color w:val="444444"/>
          <w:sz w:val="20"/>
        </w:rPr>
        <w:t xml:space="preserve"> z 2</w:t>
      </w:r>
      <w:r>
        <w:rPr>
          <w:rFonts w:ascii="Times New Roman" w:hAnsi="Times New Roman"/>
          <w:color w:val="444444"/>
          <w:sz w:val="20"/>
        </w:rPr>
        <w:t>8.12.2017, s. 35).</w:t>
      </w:r>
    </w:p>
  </w:footnote>
  <w:footnote w:id="2">
    <w:p w14:paraId="1712BE5D" w14:textId="193CBE84"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„Jednostki samodzielne” nie należą do grupy skonsolidowanej, ani nie konsolidują się samodzielnie</w:t>
      </w:r>
      <w:r w:rsidR="00FC4B69">
        <w:rPr>
          <w:rFonts w:ascii="Times New Roman" w:hAnsi="Times New Roman"/>
          <w:sz w:val="20"/>
        </w:rPr>
        <w:t xml:space="preserve"> w tym</w:t>
      </w:r>
      <w:r>
        <w:rPr>
          <w:rFonts w:ascii="Times New Roman" w:hAnsi="Times New Roman"/>
          <w:sz w:val="20"/>
        </w:rPr>
        <w:t xml:space="preserve"> samym państwie,</w:t>
      </w:r>
      <w:r w:rsidR="00FC4B69">
        <w:rPr>
          <w:rFonts w:ascii="Times New Roman" w:hAnsi="Times New Roman"/>
          <w:sz w:val="20"/>
        </w:rPr>
        <w:t xml:space="preserve"> w któ</w:t>
      </w:r>
      <w:r>
        <w:rPr>
          <w:rFonts w:ascii="Times New Roman" w:hAnsi="Times New Roman"/>
          <w:sz w:val="20"/>
        </w:rPr>
        <w:t>rym podlegają wymogom</w:t>
      </w:r>
      <w:r w:rsidR="00FC4B69">
        <w:rPr>
          <w:rFonts w:ascii="Times New Roman" w:hAnsi="Times New Roman"/>
          <w:sz w:val="20"/>
        </w:rPr>
        <w:t xml:space="preserve"> w zak</w:t>
      </w:r>
      <w:r>
        <w:rPr>
          <w:rFonts w:ascii="Times New Roman" w:hAnsi="Times New Roman"/>
          <w:sz w:val="20"/>
        </w:rPr>
        <w:t>resie funduszy własnych.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285402"/>
    <w:rsid w:val="00351993"/>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16840"/>
    <w:rsid w:val="00E26A90"/>
    <w:rsid w:val="00EF07A1"/>
    <w:rsid w:val="00F17051"/>
    <w:rsid w:val="00FC4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pl-PL"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pl-PL"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pl-PL"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pl-PL"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pl-PL"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pl-PL"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pl-PL"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pl-PL"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pl-PL"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pl-PL"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pl-PL"/>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66C4C-B443-40A3-B7DF-CC0391E123AD}"/>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12628</Words>
  <Characters>70342</Characters>
  <Application>Microsoft Office Word</Application>
  <DocSecurity>0</DocSecurity>
  <Lines>2269</Lines>
  <Paragraphs>987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2025-01-23T10:11:33Z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69e797fc-f637-4fe2-a7fc-7d0795b6f7f5</vt:lpwstr>
  </property>
  <property fmtid="{D5CDD505-2E9C-101B-9397-08002B2CF9AE}" pid="10" name="MSIP_Label_6bd9ddd1-4d20-43f6-abfa-fc3c07406f94_ContentBits">
    <vt:lpwstr>0</vt:lpwstr>
  </property>
</Properties>
</file>